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21</w:t>
      </w:r>
    </w:p>
    <w:p>
      <w:r>
        <w:t>Bundesgericht (BGE), 1951-01-01, DE</w:t>
      </w:r>
    </w:p>
    <w:p>
      <w:r>
        <w:rPr>
          <w:b/>
        </w:rPr>
        <w:t xml:space="preserve">Quelle: </w:t>
      </w:r>
      <w:r>
        <w:t>https://mcp.opencaselaw.ch/entscheid/bge_77_III_21</w:t>
      </w:r>
    </w:p>
    <w:p>
      <w:r>
        <w:t>FR: ATF 77 III 21</w:t>
      </w:r>
    </w:p>
    <w:p>
      <w:r>
        <w:t>IT: DTF 77 III 21</w:t>
      </w:r>
    </w:p>
    <w:p>
      <w:pPr>
        <w:pStyle w:val="Heading2"/>
      </w:pPr>
      <w:r>
        <w:t>Volltext</w:t>
      </w:r>
    </w:p>
    <w:p>
      <w:r>
        <w:t>20 SchuIdbetreibungs- und Konkursrecht. N° 5. die Aufrechterhaltung einer bescheidenen landwirtschaft- lichen oder ähnlichen Existenz. Hat man es, wie hier, mit einer Hühnerfarm ohne sonstigen Landwirtschaftsbetrieb zu tun, so ist demgemäss nur der für einen Kleinbetrieb solcher Art unentbehrliche GeHügelbestand als unpfändbar zu betrachten. Davon geht denn auch das Konkursamt selber aus, ebenso die kantonale Aufsichtsbehörde. Während aber das Konkurs- amt bei der Ausscheidung der Kompetenzstücke nicht über eine Anzahl von 40 Hühnern hinausgehen zu dürfen glaubt, hält die Aufsichtsbehörde den ganzen vorhandenen Bestand von etwa 120 Hühnern für unentbehrlich. Es sei gerichts- notorisch und werde übrigens auch vom Konkursamt mcht bestritten, dass die Schuldnerin lediglich vom Ertrag dieser bescheidenen Hühnerzucht lebe. {( Die Aufrechterhaltung dieses Betriebes ist für die Sicherung ihrer Existenz we- sentlich.» Wenn der Betrieb der Hühnerfarm nicht mehr abwirft, als was die Schuldnerin für ihren Bedarf braucht, so lässt sich in der Tat auf einen Kleinbetrieb schlies.sen, wie ihn das Gesetz schützen will, gleichgültig, ob der be- rufliche oder der gewerbliche Charakter vorwiegt. Auch im Lichte der Erhebungen des Eidg. Statistischen Amtes über den schweizerischen Nutztierbestand in der Kriegs- und Nachkriegszeit (Viehzählungen 1944-1948, Heft 218 der statistischen Quellenwerke) erscheint der vorinstanz- liehe Entscheid als zutreffend. Als Farmen, die eine wesent- liche Erwerbsquelle für den Inhaber darstellen, werden Geftügelhaltungen in Betracht gezogen, die in den Jahren 1941-1946 mindestens 100 Zucht- oder Leghennen auf- wiesen, in normalen Zeiten die Existenz einer Einzelperson oder einer Familie ermöglichen und Einrichtungen für mindestens 300 Leghennen besitzen. Bei den Farmern bilden jene mit 500 bis 1000 Stück die Mittelschicht (a.a.O. 105-106 und 109-110)_ 3. - Ausser dem Hühnerbestand ist der Schuldnerin auch das notwendige bewegliche Betriebsinventar zu be- lassen. Zwar spricht Art. 92 Ziff. 4 SchKG nicht von sol- SchuIdbetreibungs- und Konkursrecht. N0 6. 21 chem Inventar. Der vom Gesetz gewollte Betriebsschutz lässt sich aber nur durch ergänzende Anwendung von Art. 92 Ziff. 3 verwirklichen. Diese Bestimmung ist jeden- falls dann anwendbar, wenn man es mit einem so kleinen Betrieb wie dem vorliegenden zu tun hat, bei dem die per- sönliche Tätigkeit der Schuldnerin als Erwerbsfaktor über- wiegt und der daher als Beruf zu gelten hat (vgl. BGE 60 UI 112). Das Hühnerhaus ist für diese GeHügelhaltung unentbehrlich, ebenso der darin befindliche Ofen, der es heizt. Das Hühnerhaus kann füglieh als Berufsgerät gelten, da es demontabel ist und deshalb den Vorschriften über die beweglichen Sachen untersteht (Art. 677 und 713 ff. ZGB). Vorbehalten bleibt die Frage, ob die Kompetenzan- sprüche aus Art. 92 Ziff. 4 (und 3) SchKG in vollem Masse auch für den Fall einer (ja unter Umständen zufolge des Konkurses notwendig werdenden) Verlegung des Betriebes auf eine andere (zumal eine pachtweise zu übernehmende) Liegenschaft bestehen. Demnach erkennt die Schuldbetr.- u. Konkurskammer : Der Rekurs wird abgewiesen. 6. Arr~t dn ler mal 1951 dans Ja canse Bersler. A~. 92 ch..10 et 93 LP. Des qu'un agent mvalide a atteint l'age ou il auralt de toute fayon ew mis a la retraite, les prestations que l'administration Iui verse en vertu de l'art. 52 du reglement des fonctionnaires U sont saisissables dans les limites de l'art. 93 LP. Art. 92 Ziff.l0 und Art. 93 SchKG. Sobald ein invalider Beamter das Alter erreicht hat, in dem er ohnehin in den Ruhestand versetzt worden wäre, sind die Leistungen, die ilIm die Ver- waltung gemäss Art. 52 der Beamtenordnung II ausrichtet, im Rahmen von Art. 93 SchKG pIlindbar. Art. 92 ci/ra 10 e art. 93 LEF. Quando un funzionario invalido ha raggillil:to .rets in cui sarebbe stato collocato in pensione, le prestazlOm corrispostegli dall'amministrazione in virtu deI- I'art. 52 deI regolamento dei funzionari II sono pignorabili nei limiti dell'art. 93 LEF.</w:t>
      </w:r>
    </w:p>
    <w:p>
      <w:r>
        <w:t>22 Schuldbetreibungs- und Konkursrecht_ N0 6. Fernand Bersier est n6 en 1884. Entierement invalide depuis 1923, par suite d'un accident subi au service des ehemins de fer federaux, il re(}oit de la Caisse nationale suisse d'assurance en cas d'accidents une rente d'invalidite et de l'administration les supplements prevus par l'art. 52 du reglement des fonctionnaires 11_ Actuellement, la rente s'61eve a. 307 fr. 95 par mois et les supplements 8..126 fr. 55. Comme il ben6ficie en outre d'une rente d'assurance- vieillesse de 49 fr., ses revenus mensuels atteignent 483 fr. 50. Poursuivi par l'Etat de Vaud et la commune de Lau- sanne, il s'est vu saisir 100 fr. 40 sur les mensualites d'aout et de septembre 1950 servies par les CFF. TI aporte plainte eontre cette saisie, mais a ete deboute pa.r les autorites de surveillance. La Cour vaudoise des poursuites et fail- lites expose que la rente versee par la Caisse nationale est insaisissable en vertu de l'art. 92 eh. 10 LP, que la rente d'assurance-vieillesse tombe sous le coup de l'art. 92 eh. 11, mais que, selon la jurisprudence, la pension de retraite servie par les CFF (126 fr. 55) est saisissable conformement a. I'art. 93, alors meme que les statuts de la caisse en dispo- seraient autrement. Bersier recourt au Tribunal f6deral. Invoquant I'art. 92 ch. 10 LP, il tient pour insaisissable la totalite des presta- tions qui lui sont allouees. Oonsiderant en droit : TI est exact que, destines 8. eompleter la rente servie par la Caisse nationale, les 126 fr. 55 que le recourant touche ehaque mois des CFF lui sont dus en raison de son invali- diM. TI s'agit done bien, du moins quant a. son origine, d'une pension versee « a. titre d'indemnite pour lesions eor- porelles» (art. 92 eh. 10 LP). Toutefois, eela n'est pas d6ter- minant. La Chambre de eeans a, en effet, juge que lorsque l'invalide arrive a.l'age ou, de toute fa90n, ses rapports de service auraient pris fin, la rente d'invalidite qui eontinue Schuldbetreibungs. und Konkursrecht. N0 7. 23 de lui etre servie se convertit en une pension de retraite au sens de l'art. 93 LP (RO 62 III 21, 64 III 18, 65 III 76, 6711I 137). Cette jurisprudenee, dont il n'y a pas lieu de se departir, repond au souei de ne pas traiter les fonetion- naires f6d6raux diversement selon que la diminution de leur capaeite de travail et, partant, de leur gain provient de l'age ou d'une lesion eorporelle (arret Lang du 24 jan- vier 1936 eonsid. 3). Elle s'applique egalement, par ana- logie, 8. la partie des prestations que le debiteur rel}oit non de la Caisse nationale, mais direetement de l'administra- tion (en l'espece des CFF). Cette indemnite aus si perd son earactere initial au moment ou l'agent a accompli sa· 65e annee. Se referant 8. l'arret Heritier-Müller (RO 64 III 8), la Cour vaudoise estime indifferent que les statuts de la caisse chargee de payer les 126 fr. 55 en prevoient l'insaisissa- billte. Cependant cette somme est versee par les CFF eux- memes etnon par leur caisse de pensions et de secours, de sorte que les statuts de cet organisme sont hors de cause. Quant 8. l'art. 52 du reglement des fonctionnaires 11, qui concerne l'assistance en cas d'accidents de service, la nouvelle teneur que le Conseil f6d6rallui a donnee par son arrete du 19 d6cembre 1949 (ROLF 194911 1868) a sup- prime l'ancien alin6a 6, qui d6clarait le droit aux supple- ments insaisissable. TI n'y a donc pas lieu de rechercher si cette disposition, aujourd'hui abrogee, aurait commande une autre solution. Par ces motifs, la Ohambre des poursuites et des faillites rejette le recours. 7. Entscheid vom 24. Januar 1951 i. S. Wälle. Au/schub der Verwertung bei Abschlagszahlungen. WIrd der Gläubiger wäl:trend des Aufschubes zur Vorschussleistung für die Kosten der allfällig durchzuführenden Verwertung auf- gefordert, so ist diese Verfügung mangels aktuellen Interesses nichtig. Art. 17 ff., 68, 123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