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27</w:t>
      </w:r>
    </w:p>
    <w:p>
      <w:r>
        <w:t>Bundesgericht (BGE), 1950-01-01, DE</w:t>
      </w:r>
    </w:p>
    <w:p>
      <w:r>
        <w:rPr>
          <w:b/>
        </w:rPr>
        <w:t xml:space="preserve">Quelle: </w:t>
      </w:r>
      <w:r>
        <w:t>https://mcp.opencaselaw.ch/entscheid/bge_76_IV_27</w:t>
      </w:r>
    </w:p>
    <w:p>
      <w:r>
        <w:t>FR: ATF 76 IV 27</w:t>
      </w:r>
    </w:p>
    <w:p>
      <w:r>
        <w:t>IT: DTF 76 IV 27</w:t>
      </w:r>
    </w:p>
    <w:p>
      <w:pPr>
        <w:pStyle w:val="Heading2"/>
      </w:pPr>
      <w:r>
        <w:t>Volltext</w:t>
      </w:r>
    </w:p>
    <w:p>
      <w:r>
        <w:t>26 Strafgesetzbuch. No 6. Umständen auch Mitteilungen erfordern, welche dem Rufe einer Person abträglich sind. Stellen sich solche Äusse- rungen nachträglich als unwahr heraus, so sind sie dennoch mcht als üble Nachrede strafbar, sofern die Amtspflicht sie geboten hat (Art. 32 StGB). Es liegt indes auf der Hand, dass die Amtspflicht des Polizisten nicht jede ehrverletzende Beschuldigung oder Verdächtigung deckt, die er in seinen Rapporten ausspricht. Der Polizist handelt pflichtgemäss nur, wenn seine ehrenrührigen Behauptungen sich im Rahmen seines Auftrages halten und wenn er sie nicht leichtfertig aufstellt. Wie derjenige, welcher sich auf Wahrung berechtigter Interessen berufen will (BGE 73 IV 16 und Zitate), so muss auch der Polizist gewissenhaft alles ihm Zumutbare unternommen haben, um sich von der Richtigkeit dessen, was er meldet, zu überzeugen. Immer- hin ist es im allgemeinen nicht seine Aufgabe, den Sach- verhalt wie ein Richter abzuklären; er hat sich gewöhnlich auf vorläufige Ermittlungen zu beschränken. Seiner Tätig- keit sind daher nicht zu enge Grenzen zu ziehen. Er darf in seinen Rapporten auch darauf hinweisen, dass jemand etwas für einen Dritten Ehrenrühriges behauptet, wenn dies für die Oberbehörde von Bedeutung sein kann; er macht sich dadurch auch dann nicht strafbar, wenn die Behauptung sich in der Folge nicht bewahrheitet. Er darf auch Gerüchte melden, wenn sie als wesentlich erscheinen ; Sache der Vorgesetzten ist es dann, darüber zu entscheiden, ob den Gerüchten weiter nachzugehen sei. Im Rapport des Polizisten muss aber zum Ausdruck kommen, dass es sich bloss um Gerüchte handelt. Selbst wenn anzunehmen wäre, der Beschwerdeführer habe seine Aufgabe dahin verstehen dürfen, dass er dem kantonalen Fremdenbureau auch über Benehmen und Leu- mund der Frau M. und der Eheleute W. Bericht zu erstatten habe, so wäre er doch jedenfalls in seinen Meldungen über das Zulässige weit hinausgegangen. Er hat freilich zum Teil von blossen Gerüchten über ein unehrenhaftes Verhalten der Kläger gesprochen, diese aber zum Teil auch positiv Strafgesetzbuch. No 7. eines solchen Verhaltens bezichtigt. So hat er Frau M. beschuldigt,· sie sei mehr Amüsierdame als Küchenmäd- chen, und auch der Frau W. hat er einen unsittlichen Le- benswandel vorgeworfen. Für die Richtigkeit dieser seiner eigenen Behauptungen hatte er jedoch nicht genügend Anhaltspunkte ; stellt doch die Vorinstanz fest, die von ihm angerufenen Zeugen hätten sein, d. h. den Betroffenen in seiner Ehre seiner Geltung als achtbarer Mensch herabsetzen. Gleich; Auswirkungen muss der Vorwurf haben können, wenn er sich nicht auf ein« Verhalten)), sondern auf« andere Tat- Strafgesetzbuch, No 7. 29 sachen)) bezieht. Gewiss sagt das Gesetz nicht, diese Tat- sachen müssten an der Ehre des Betroffenen rühren, son- dern sie müssten sich eignen, seinen Ruf zu schädigen (« porter atteinte a sa consideration l&gt;, &gt; äussert, tut der Ehre des Kranken nicht Eintrag, da er für seinen Zustand nicht verantwortlich ist. Eine Herabsetzung in der Ehre kann auch nicht darin gesehen werden, dass dem Beschwerde- gegner vorgeworfen werde, er sollte zur bessern Einsicht kommen, dass er den Arzt nötig habe. Es ist für einen Nervenkranken nicht unehrenhaft, seine Krankheit nicht einzusehen, denn gerade sie kann ihn daran hindern, sei- nen Zustand zu erkennen. Der Beschwerdeführer kann daher wegen des erwähnten Vorhaltes nicht bestraft werden. Die Frage, ob der Be- schwerdeführer zum Wahrheitsbeweis zugelassen werden müsste, stellt sich nicht. 2. - Entgegen der Auffassung des Beschwerdegegners ist nicht anzunehmen, dass das Obe~ericht die Busse gleich hoch bemessen hätte, wenn es den Beschwerdeführer nur wegen des Vorhaltes der Vorstrafen bestraft hätte. Es hat a1les in die Wagschale geworfen, was seiner Meinung nach die Schuld des Beschwerdeführers minderte, und hätte ihm zweifellos auch den Freispruch im einen der beiden Anklagepunkte zugute gehalten. Das angefochtene Urteil muss daher aufgehoben werden. Damit entfällt die Möglichkeit, den Beschwerdeführer für den Vorhalt der Vorstrafen weiter zu verfolgen und zu bestrafen. Die Verfolgung strafbarer Handlungen; die durch das Mittel der Druckerpresse begangen werden, verjährt in einem Jahre seit der Veröffentlichung der Druckschrift (Art. 27 Ziff. 6 StGB), und die Verjährung ist ungeachtet aller Unterbrechungen jedenfalls eingetreten, wenn diese Frist um ihre ganze Dauer überschritten ist (Art. 72 Z:ifi. 2 Abs. 2 StGB). Die Verfolgung des Beschwerdeführers ist somit am 7. Oktober .1949 verjährt. Unter diesen Umständen kann dahingestellt bleiben, ob der Beschwerdeführer durch den Vorhalt der Vorstrafen des Beschwerdegegners sich überhaupt strafbar gemacht hat. Strafgesetzbuch. No 8. 31 Demnach erkennt der KassaJ,ionshof : Die Nichtigkeitsbeschwerde wird gutgeheissen, das Ur- teil des Obergerichts des Kantons Zürich vom 28. Sep- tember 1949 aufgehoben und die Sache an die Vorinstanz zurückgewiesen, damit sie unter Berücksichtigung der eingetretenen Verfolgungsverjährung neu urteile. 8. Auszug aus dem Urteil des Kassationshofes vom 17. Jlebruar 1950 i. S. Sehmucki gegen Staatsanwaltschaft des Kantons St. Gallen. Wer ein echtes amtliches Zeichen unberechtigterweise an einen Gegenstand anbringt oder mit dem unberechtigterweise ange- brachten echten Zeichen jemanden täuscht, ist weder nach Art. 246 noch nach Art. 251, wohl aber gegebenenfalls nach Art. 148 StGB zu bestrafen. Celui qui, sans droit, appose sur un objet une marque authentique ou qui trompe autrui au moyen d'.une telle marque apposee sana droit tombe sous le coup non des Mt. 246 ou 251, mais, le cas ooheant, de I'art. 148 OP. Colui ehe, senza diritto, appone su un oggetto una marca auten- tica o inganna altrui mediante questa. marca apposta senza diritto non e punibile in virtu dell'art. 246 o dell'arl. 251 OP, ma eventualmente in base dell'art. 148 OP. Aus den Erwägungen: l. - Nach Art. 246 StGB ist strafbar, wer amtliche Zei- chen, die die Behörde an einen Gegenstand anbringt, um das Ergebnis einer Prüfung oder um eine Genehmigung festzustellen, zum Beispiel Stempel der Gold- und Silber- kontrolle, Stempel der Fleischschauer, Marken der Zoll- verwaltung, fälscht oder verfälscht, um sie als echt oder unverfälscht zu verwenden (Absatz 1 ), oder wer falsche oder verfälschte Zeichen dieser Art als echt oder unver- fälscht verwendet (Absatz 2). Der erste Absatz ordnet nach seinem klaren Wortlaut nur den Fall, wo jemand ein amtliches Zeichen fälscht, d. h. es unberechtigterweise nachmac~t ((( contrefait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