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235</w:t>
      </w:r>
    </w:p>
    <w:p>
      <w:r>
        <w:t>Bundesgericht (BGE), 1950-01-01, FR</w:t>
      </w:r>
    </w:p>
    <w:p>
      <w:r>
        <w:rPr>
          <w:b/>
        </w:rPr>
        <w:t xml:space="preserve">Quelle: </w:t>
      </w:r>
      <w:r>
        <w:t>https://mcp.opencaselaw.ch/entscheid/bge_76_IV_235</w:t>
      </w:r>
    </w:p>
    <w:p>
      <w:r>
        <w:t>FR: ATF 76 IV 235</w:t>
      </w:r>
    </w:p>
    <w:p>
      <w:r>
        <w:t>IT: DTF 76 IV 235</w:t>
      </w:r>
    </w:p>
    <w:p>
      <w:pPr>
        <w:pStyle w:val="Heading2"/>
      </w:pPr>
      <w:r>
        <w:t>Volltext</w:t>
      </w:r>
    </w:p>
    <w:p>
      <w:r>
        <w:t>234 Strafgesetzbuch. No 48. tres inferieure au prix paye et si, le sachaut, ils out accepte de Ieser ainsi les interets pecuniaires d'autrui. Si certains d'eutre eux out pu peuser qu'ils ue causaieut pas un pre- judice aux acheteurs parce que la banque remplacerait, le cas echeant, les titres refuses, il s'agirait d'une erreur de droit que le juge ue saurait retenir a la decharge des accu- ses; ceux-ci n'auraieut eu effet pas eu des raisous suffi- sautes de se croire eu droit d'agir (art. 20 CP), c'est-a-dire de commeucer par livrer aux acheteurs des titres valaut trois ou quatre fois moius que le prix paye. A l'egard des acquereurs de titres, les accuses ue pour~ rout coutester leur dessein d'eurichissemeut illegitime eu preteudaut qu'ils ue visaieut qu'a obtenir leur du et qu'ils out agi licitemeut. Les acheteurs out ete effectivemeut appauvris de la plus graude partie du prix paye, et cela par des moyeus qui reudeut illegitime l'eurichissemeut correlatif des veudeurs (cf. arret cite, p. 99/100, litt. bb). bb J S'agissaut de la presentation des titres au rembourse- ment, les accuses aurout agi inteutiouuellemeut s'ils out su que 'es domiciles de paiemeut, abuses par les declara- tions mensougeres cousignees daus les affidavits, versaieut la contre-valeur d'obligations qui ne remplissaieut pas les conditions des conventions bancaires et si, le sachant, ils out accepte de Ieser ainsi les interets pecuniaires de l'Etat fram;ais et, le cas echeant, de la Suisse. Les accuses ne sont, a cet egard, pas fondes a contester leur dessein d'enrichissemeut illegitime, eu pretendaut qu'ils n'ont cherche qu'a obtenir d'un debiteur recalcitrant l'execution de ses obligations. En effet, d'une part, l'avantage qu'ils ont vise, c'est- a-dire le remboursement au cours plein d'obligatious non munies d'affidavits, constitue un enrichissement par rap- · port a la simple pretention de se faire payer en Suisse l'entier de leur creance (ci-dessus, litt. a, bb). D'autre part, cet enrichissement etait illegitime eu ce sens que, pour se le procurer, les accuses se proposaient de recourir a des pro- cedes fallacieux (cf. VON CLERIC, op. cit„ p. 343 sv.). Le Strafgesetzbuch. No 49. 235 droit civil n'autorise l'individu a se faire justice 8. lui- meme qu'a des conditions et par des moyens determines. En l'espece, les previsions de l'art. 52 CO ne sont pas rea- lisees. En particulier, l'al. 3 n'envisage pas l'emploi de manreuvres frauduleuses. En y recourant, les accuses auront prive l'Etat franyais du droit de faire valoir les raisons qu'il avait de refuser pour le momeut aux porteurs franyais et etrangers le remboursement de ses emprunts exterieurs. Cette difference de traitemeut par rapport aux porteurs suisses reposait saus doute sur la Iegislation interne de la France, eu particulier sur la loi frau9aise du 8 fävrier 1941 relative au paiement de certaines dettes en monnaie etraugere. Mais cette Iegislation pouvait devoir etre recounue en Suisse, dans la mesure ou l'Etat franyais etait foude a iuvoquer uu etat de necessite consecutif a. la guerre. En fait, c'est d'euteute avec les autorites fäderales que la Frauce a procede, pour la Suisse, aux discrimina- tions resultant des restricbions mises au service de ses empruuts. Les accuses ne sauraieut ici non plus exciper d'une erreur quant 8. leur droit d'obtenir par tous les moyens le paie- meut de leurs creauces, car eu aucun cas ils ne pouvaieut se croire autorises a operer avec des faux. 49. Auszug aus dem Urteil des Kassationshofes vom 6. Oktober 1950 i. S. Dorer gegen StaatsanwaJtsehaft des Kantons Solothurn. Art. 191 Ziff. 1 StGB. Wer im Bestreben, mit dem Kinde den Bei- schlaf zu vollziehen, Handlungen begeht, die diesem ähnlich sind, ist des vollendeten, nicht bloss des versuchten Verbre- chens des Art. 191 Ziff. 1 schuldig. Art. 191 eh. 1 OP. Celui qui, en s'effor\)ant de faire subir l'acte sexuel a un enfant, accomplit des actes analogues consomme et ne tente pas simplement le crime reprime par cette disposition. Art.191cifra1 OP. Chi, nell'intento di compiere con una fanciulla la congiunzione carnale, commette altri atti simili consuma e non solo tenta il reato contemplato dall'art. 191 cifra 1. 236 Strafgesetzbuch. No 49. .Aus den Erwägungen: Art. 191 Ziff. 1 StGB stellt die beischlafsähnlichen Hand- lungen mit einem Kinde dem Beischlaf gleich, behandelt 'sie wie diesen als vollendetes Verbrechen. Deshalb kann ein Täter, der es auf den Beischlaf abgesehen hatte, nicht mehr bloss wegen Versuches bestraft werden, wenn er auf dem Wege zur Verwirklichung seines Vorhabens Handlungen begangen hat, die dem Beischlaf ähnlich sind. Das ist in BGE 70 IV 158 ff. schon für den Fall ausgeführt worden, wo es dem Täter wegen ungenügender Entwicklung des Mädchens nicht gelingt, in die Scheide einzudringen, muss aber überhaupt immer gelten,· wenn der Beischlaf, auf den der Täter es abgesehen hat, aus irgendwelchem Grunde scheitert, dem Täter aber zum mindesten eine beischlafs- ähnliche Handlung gelingt. Daher kommt nichts darauf an, ob der Beschwerdeführer mehr wegen der Gegenwehr des Mädchens oder mehr wegen dessen körperlichen Entwick- lung den Beischlaf nicht vollendet hat. Er ist auf dem Wege zum Ziel bis zu einer beischlafsähnlichen. Handlung ge- langt. Dass eine solche schon dann vorliegt, wenn das Glied bloss zwischen die Oberschenkel des Kindes gestossen wird, gleichgültig ob von vorne oder von hinten, ist wiederholt entschieden worden (BGE 71 IV 191; 75 IV 164). Umso- mehr begeht der Täter eine dem Beischla,f ähnliche Hand- lung, wenn er im Bestreben, den Beischlaf zu vollziehen, mit dem Glied bis an die Scheide vordringt. Nicht erfor- derlich ist, dass er dabei nach Art eines Beischläfers Be- wegungen mache oder den Samen ausstosse. Nicht das, sondern die Innigkeit der geschlechtlichen Beziehung zwi- schen Täter und Kind kennzeichnet die beischlafsähnliche Handlung. Die Psyche des Kindes wird durch einen so weit gediehenen Versuch des Beischlafs zum mindesten ebensosehr geschädigt wie durch Vollzug des Geschlechts- aktes zwischen die Oberschenkel (vgl. MKGE 2 S. 174). Dass der Beschwerdeführer das Glied bis an die Scheide des Mädchens geführt, es sogar gegen diese gedrückt hat, Strafgesetzbuch. N° 50. 237 ergibt sich aus der verbindlichen Feststellung des Ober- gerichts, wonach das Mädchen infolge Jungfräulichkeit Schmerzen empfunden hat. Der Beschwerdeführer ist daher zu Recht nach Art. 191 Ziff. 1 StGB verurteilt worden. 50. Auszug aus dem Urteil des Kassationshofes vom 15. Dezem• her 1950 i. S. Staatsanwaltschaft des Kantons Solothurn gegen Wingeier. Art. 198, 199 StGB. I. Begriff der Unzucht als Merkmal der einfachen und der gewerbs- mässigen Kuppelei. . 2. Gewerbsmässigkeit der Kuppelei. . .. . 3. Art. 199 Abs. 2 setzt nicht voraus, dass die ~und1ge Person gewerbsmässiger Unzucht ausgeliefert worden sei. Art. 198 et 199 OP. . , , . I. Notion de la debauche en tant qu'eiement du proxenetIBme simple et professionnel. . 2 .. Caractere professionnel du proxenetIBme. . . , , 3. L'art. 199 al. 2 ne suppose pas que la personne mmeure ait ete livree a la prostitution. Art. 198 e 199 OP. . . 1. 1. Concetto della libidine quale elemento del lenocmm semp ice e per mestiere. . . 2. Carattere professionale del lenocmio. . . 3. L'art. 199 cp. 2 non pre~ppc;&gt;ne. cJ;ie_l~ persona ~ore s1a stata indotta a compiere degh att1 d1 hb1d1ne per mestiere. A.. - Rosa Wingeier war bestrebt, in der von ihrem Ehe- mann geführten Gastwirtschaft in Selzach den Absatz von Flaschenwein zu heben. Zu diesem Zwecke gab sie nicht nur sich selber, notdürftig bekleidet, den Gästen zu un- züchtigen Handlungen hin, sondern gebot auch dem weib- lichen Servierpersonal, unter anderem einer Unmündigen, in einem als Weinstube, später als Bar, eingerichteten und mit Sofas ausgestatteten Nebenlokal sich von den Gästen unsittlich berühren und ausgreifen zu lassen und ihnen am entblössten Geschlechtsglied zu reiben. Das geschah vom September 1947 bis November 1949. Zum Beischlaf zwischen Gästen und Servierpersonal kam es nicht, ob- schon er~tere ihn verlangten. B. - Rosa Wingeier wurde der gewerbsmässigen Kup-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