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186</w:t>
      </w:r>
    </w:p>
    <w:p>
      <w:r>
        <w:t>Bundesgericht (BGE), 1949-01-01, DE</w:t>
      </w:r>
    </w:p>
    <w:p>
      <w:r>
        <w:rPr>
          <w:b/>
        </w:rPr>
        <w:t xml:space="preserve">Quelle: </w:t>
      </w:r>
      <w:r>
        <w:t>https://mcp.opencaselaw.ch/entscheid/bge_75_I_186</w:t>
      </w:r>
    </w:p>
    <w:p>
      <w:r>
        <w:t>FR: ATF 75 I 186</w:t>
      </w:r>
    </w:p>
    <w:p>
      <w:r>
        <w:t>IT: DTF 75 I 186</w:t>
      </w:r>
    </w:p>
    <w:p>
      <w:pPr>
        <w:pStyle w:val="Heading2"/>
      </w:pPr>
      <w:r>
        <w:t>Volltext</w:t>
      </w:r>
    </w:p>
    <w:p>
      <w:r>
        <w:t>186 Verwaltungs- und Disziplinarrecht. des streitigen Schuldbriefs eine Verpflichtung der Ehefrau im Sinne von Art. 177 Abs. 3 ZGB nicht begründet wurde. Demnach erkennt das Bundesgericht : Die Beschwerde wird im Sinne der Erwägungen abge- wiesen. 29. UrteD der II. Zil'ßabteDung vom 19. Mai 1949 i. S. Kaspar gegen Aargau, Regierungsrat. Grundbuch. Vormerkung des Gewinnanteilsrechtes der Miterben gemäss Art. 619 ZGB. Wirkungen. Voraussetzungen der Lö- sehung vor Ablauf der im Grundbuch angegebenen Zeit. Regwe loncU:r' Annotation du droit des coMritiers a une quote- part du garn eonformement a l'art. 619 CC. Effets. Conditions requises pour Ia radiation de l'annotation avant l'expiration du tamps indique dans Ie registre foncier. Regwo londiario. ~otazione deI diritto dei coeredi ad una parte dell'utile, conformemente all'art. 619 CC. Effetti. Condi.-;ioni richieste per la caneelIazione deIl'annotazione prima deUa seadenza indicata neI registro fondiario. Mit öffentlich beurkundetem Vertrag vom 1. Oktober 1948 verkauften Rudolf und Marie Kaspar-Bertschi in Oberkulm ihrem Sohne Emil Kaspar-Widmer sieben land- wirtschaftliche Liegenschaften im Schatzungswerte von Fr. 27,420.- nebst landwirtschaftlichem Inventar zum Preise von Fr. 25,000.-. Die besondern Vertragsbestim- mungen sehen u. a. vor, dass der Käufer seinen Eltern ein Wohnrecht einräumt und sich verpflichtet, für ihren notwendigen Lebensunterhalt unentgeltlich aufzukommen. Zu den Liegenschaften, die Rudolf Kaspar verkaufte, gehörte das 9,07 a messende Waldgrundstück Grundbuch Oberkulm Nr. 1512 im Schatzungswerte von Fr. 270.-. Rudolf Kaspar hatte dieses am 23. Februar 1946 aus der Erbschaft seines Vaters zu Fr. 360.- erworben. Dabei war im Grundbuch vorgemerkt worden «Gewinnanteil auf 10 Jahre zu Gnnaten der Miterben des Rudolf Kaspar- Bertschi gemäss 619 ZGB. Verkehrswert Fr. 414.-». Im Vertrage vom 1. Oktober 1948 wird hiezu bemerkt, ein Registersaohen. N° 29. 187 Gewinnanteil zu Gnnaten der Miterben bestehe nicht, da Rudolf Kaspar das zu Fr. 360.- erworbene Grundstück unter der Schatzung von Fr. 270.- verkaufe; die Vor- merkung werde daher zur Löschung angemeldet. Am 13. Oktober 1948 eröfinete das Grundbuchamt Kulm dem Urkundsbeamten, der den Eigentumsübergang, die Löschung des Gewinnanteilsrechts aufNr. 1512, das Wohn- recht und die gemäss Vertrag vom 1. Oktober 1948 neu zu errichtenden Grundpfandrechte auf Grund von Art. 142 EGzZGBund Art. 963 Abs. 3 ZGB zur Eintragung ins Grundbuch angemeldet hatte, « die Anmeldung ... betref- fend die Eintragung eines Kaufvertrages zwischen Kaspar- Bertschi Rudolf und seinem Sohn Emil ... auf Grundbuch Nr. 1512 » habe abgewiesen werden müssen. « Grund: Auf diesem Grundstück ist ein Gewinnantellsrecht gemäss Art. 619 ZGB vorgemerkt. Vor der Eintragung des Kaufes haben die Berechtigten schriftlich zur Löschung der Vor- merkung einzuwilligen. Da der Kauf und Pfandvertrag noch andere Grundstücke umfasst, muss der ganze Ver- trag bis zur Erledigung dieser Frage abgewiesen werden ». Gegen diese Verfügung führte RudolfKaspar Beschwerde und nach deren Abweisung durch Entscheide der Justiz- direktion und des Regierungsrates des Kantons Aargau Verwaltungsgerichtsbeschwerde an das Bundesgericht mit dem Antrag, das Grundbuchamt sei anzuweisen, « den ver- urkundeten Kaufvertrag wie verfasst einzutragen». Der Regierungsrat beantragt Abweisung, das Eidg. Justiz- und Polizeidepartement Gutheissung der Verwal- tungsgerichtsbeschwerde. Das Bunde8gericht zieht in Erwägung: 1. - Hat ein Erbe ein Grundstück unter dem Verkehrs- wert erhalten, so sind die Miterben gemäss Art. 619 ZGB berechtigt, beim Verkauf des Grundstücks oder eines Teils davon binnen der folgenden zehn Jahre einen verhältnis- mässigen Anteil am Gewinn zu beanspruchen, sofern dieser Anspruch bei der Teilung im Grundbuch vorgemerkt 188 Verwaltungs- und Disziplinarrecht. worden ist. (Bei Teilung nach dem l. Januar 1947 besteht der Anspruch gemäss Art. 94 und 108 des auf den eben genannten Zeitpunkt in Kraft getretenen Bundesgesetzes über die Entschuldung landwirtschaftlicher Heimwesen vom "12. Dezember 1940 für die Dauer von fünfzehn Jah- ren.) Die Vormerkung dieses Anspruches ist Vormerkung eines persönlichen Rechts im Sinne von Art. 959 ZGB. Die vormerkbaren persönlichen Rechte werden durch die Vor- merkung nicht zu dinglichen Rechten, sondern erhalten dadurch lediglich eine verstärkte Wirkung in dem Sinne, dass sie nicht nur gegenüber dem ursprünglich Verpflich- teten, sondern auch gegenüber Dritten geltend gemacht werden können, die später am betreffenden Grundstück Rechte erwerben (Art. 959 Abs. ·2 ; vgl. BGE 44 TI 366 betr. Vormerkung eines Vorkaufsrechtes). Beim Gewinn- anteilsanspruch nach Art. 619 ZGB äussert sich diese Wir- kung gegenüber dem Dritterwcrber des Grundstückes darin, dass er den Miterben des Verkäufers gegebenenfalls für ihren Gewinnanteil persönlich haftbar wird und daher den Teil des Kaufpreises, der diesem Gewinnanteil ent- spricht, an die Miterben. bezahlen oder allenfalls den gan- zen Überschuss des Kaufpreises über den bei der Teilung festgesetzten Übernahmepreis (höchstens aber die Dif- ferenz zwischen Verkehrswert zur Zeit der Teilung und Übernahmepreis, Art. 619 Abs. 2 ZGB) gemäss Art. 96 in Verbindung mit Art. 92 OR gerichtlich hinterlegen muss, wenn die Miterben sich nicht damit einverstanden erklären dass der ganze Kaufpreis an den Verkäufer bezahlt wird: Dagegen hat die Vormerkung des Gewinnanteilsanspruchs nicht zur Folge, « dass ohne Zustimmung der berechtigten Miterben keine Veräusserung der Liegenschaft eingetragen werden darf», wie SCHÖNBERG in der von der Vorinstanz zitierten Abhandlung (Die Grundbuchpraxis S. 193) an- nimmt. Eine so weitgehende Wirkung kommt in der Regel nicht einmal der Vormerkung einer Verfügungsbeschrän- kung zu (Art. 960 Abs. 2 ZGB). Der Umstand, dass auf dem Grundbuchblatt der Liegenschaft Nr. 1512 ein An- Registersaohen. N0 29. 189 spruch nach Art. 619 ZGB vorgemerkt ist, steht demnach der Eintragung des Eigentumsübergangs infolge Verkaufs dieser Liegenschaft nicht entgegen. 2. - Der Urkundsbeamte begnügte sich nun freilich nicht damit, den Eigentumsübergang (sowie die gemäss Vertrag vom l. Oktober 1948 zu errichtenden beschränkten ding- lichen Rechte) zur Eintragung ins Grundbuch anzumelden, sondern er beantragte zugleich die Löschung der Vormer- kung gemäss Art. 619 ZGB. Diesem Gesuch haben die kantonalen Instanzen mit Recht nicht ohne weiteres entsprochen. Zwar kann ent- gegen ihrer Auffassung keine Rede davon sein, dass der Anspruch aus Art. 619 « während der im Grundbuch ange- gebenen Frist bei jeder Handänderung geltend gemacht werden kann », sofern er nicht schon «bei einem frühem Verkaufe» geltend gemacht werden konnte. Unter dem « Verkaufe» (Einzahl), bei dem nach Art. 619 die « Mit- erben» einen {( verhältnismässigen Anteil» (d. h. einen den Erbquoten entsprechenden Anteil) am .Gewinn beanspru~ ehen können, kann nur der Verkauf durch den Erben ver- standen werden, der das Grundstück bei der Teilung unter dem Verkehrswert erhalten hat (Übernehmer). Abgesehen davon, dass diese Auslegung schon aus rein sprachlichen Gründen am nächsten liegt, spricht dafür der Umstand, dass eine Teilung des Verkaufsgewinns nach Massgabe der Erbquoten nur im Verhältnis zwischen, den Miterben des Übernehmers und diesem selber, nicht auch im Verhältnis zwischen den Miterben des Übernehmers und einem spätem Erwerber" des Grundstücks in Frage kommt. Die Besin- nung auf den Zweck der Vorschrift führt zu keinem andern Ergebnis. Art. 619 ist das Gegenstück zu Art. 617 und 620 ff. ZGB und will den Miterben ein Mittel in die Hand geben, um sich dagegen zu sichern, dass der Übernehmer . die Liegenschaften, die ihm unter dem Verkehrswert über:, lassen wurden, um ihm deren Bewirtschaftung unter trag- baren Bedingungen zu ermöglichen, nach verhältnismässig kurzer Zeit zu einem höhern Preis.verkauft und den Gewinn 190 Verwaltungs. und Disziplinarrecht. für sich allein behält. Gewinne späterer Erwerber haben, wie das Eidg. Justiz- und Polizeidepartement zutreffend bemerkt, keine Beziehung zur Erbschaft. Die Gefahr, dass der Anspruch der Miterben durch die Einschaltung von Strohmännern vereitelt werden könnte, ist im Hinblick auf die neuen Bestimmungen über die Weiterveräusserung landwirtschaftlicher Grundstücke (Art. 218, 218his, 218ter OR) nicht mehr sehr gross (viel eher ist Falschbeurkundung des Kaufpreises zu befürchten) und bildet auf jeden Fan keinen genügenden Grund dafür, Art. 619 ZGB im Sinne der Vorinstanz auszulegen. Derartigen Machenschaften ist mit andern Mitteln zu begegnen (z. B. mit der Schadener- satzklage gemäss Art. 41 OR, die unter Umständen nicht bloss gegenüber dem Übernehmer, sondern auch gegenüber den andern an der Machenschaft Beteiligten Erfolg haben kann). Der Anspruch aus Art. 619 ZGB verwirklicht sich also entgegen der Annahme der Vorinstanz nur unter der Voraussetzung, dass der Übernehmer das Grundstück innert der Frist von 10 bezw. 15 Jahren mit Gewinn weiter- verkauft. Verkauft es der übernehmer dagegen ohne Gewinn, so fällt der Anspruch dahin, wie wenn bis zum Fristablauf überhaupt kein Verkauf stattfindet. Anders als beim Ablauf der in der Vormerkung angegebenen Frist (Art. 72 Abs. 1 GBV) darf jedoch bei Veräusserung des Grundstücks durch den Übernehmer während dieser Frist die Vormerkung nicht von Amtes wegen gelöscht werden, wie das Eidg. Justiz- und Polizeidepartement annehmen möchte, und ebensowenig kommt in diesem Falle eine «Löschung auf einseitigen Antrag des Dritten im Zusam- menhang mit der Anmeldung zur Handänderung» (Art. 976 Abs. I ZGB) in Frage. Die Miterben müssen sich die Löschung der Vormerkung bei einer solchen Veräusserung erst gefallen lassen, wenn sie den ihnen zukommenden. Gewinnanteil erhalten haben, oder wenn feststeht, dass sich für den übernehmer kein Gewinn ergeben hat. Ob eine dieser Voiaussetzungen erfüllt sei, ist nicht so leicht und sicher feststellbar wie der Ablauf der Vormerkungsfrist Registersaehen. N° 29. 191 oder beim vorgemerkten Vorkaufs-, Rückkaufs- oder Kaufsrecht die Tatsache, dass der Berechtigte Eigentümer des Grundstücks geworden ist (Art. 72 Abs. 2 GBV). (Gerade im vorliegenden Fall steht keineswegs unzweifel- haft fest, dass der Beschwerdeführer ohne Gewinn verkauft hat, wie er behauptet. Einmal ist der Kaufpreis für das Grundstück Nr. 1512 aus dem Gesamtpreis nicht ausge- schieden, und vor allem haben sich die Verkäufer ausser dem als Gesamtpreis angegebenen Betrage von Fr. 25,000.-- in Gestalt des Wohnrechts und des Lebensunterhalts noch erhebliche weitere Leistungen versprechen lassen.) Den Grundbuchbehörden kommt es daher nicht zu, über das Vorhandensein dieser Voraussetzungen zu entscheiden. Vielmehr darf das Grundbuchamt die Vormerkung des AI!spruchs nach Art. 619 ZGB vor Ablauf der erwähnten Frist nur mit schriftlicher Bewilligung der Miterben oder mit. Ermächtigung des Richters löschen (Art. 964 ZGB und Art. 61 Abs. 2 GBV in Verbindung mit Art. 70 GBV). Dem Grundbuchverwalterist es unbenommen, durch Anfrage an die Miterben (denen gemäss Art. 969 Abs. 1 ZGB die Handänderung ohnehin anzuzeigen ist) oder durch Anru- fung des Richters gemäss Art. 976 Abs. 3 ZGB die Initia- tive zu ergreifen. Deswegen, weil der Antrag auf Löschung der Vormer- kung des Gewinnanteilsanspruchs nach Art. 619 ZGB abge- wiesen werden musste, brauchten jedoch die übrigen auf • Grund des Vertrages vom 1. Oktober 1948 erfolgten An- meldungen entgegen der Ansicht der Vorinstanz nicht ebenfalls abgewiesen zu werden. Bei der Anmeldung wurde nicht bestimmt, dass die Eintragung des Eigentums, der Pfandrechte und des Wohnrechts nicht ohne die Löschung jener Vormerkung erfolgen solle (vgl. Art. 12 Abs. 2 GBV). Es lag im Gegenteil auf der Hand, dass die Vertragspar- teien diese Eintragungen unabhängig davon herbeizuführen wünschten, ob sich zu gleicher Zeit auch die Löschung jener Vormerkung erreichen lasse oder nicht. Die Löschung der Vormerkung.war für sie im Verhältnis zu den erwähnten 192 Verwaltungs- und Disziplinarrecht. Eintragungen unzweifelhaft von ganz untergeordneter Be- deutung, zumal da als Gewinn im Sinne von Art. 619 von vornherein kein höherer Betrag als Fr. 414.- - Fr. 360.- = Fr. 54~- in Frage kam. Den erwähnten Eintragungen steht daher nichts im Wege. Demnach erkennt das BV/lule8gericht: Die Beschwerde wird gutgeheissen, der angefochtene Entscheid aufgehoben und das Grundbuchamt Kulm ange- wiesen, den am 13. Oktober 1948 zur Eintragung angemel- deten Kaufvertrag zwischen. dem Beschwerdeführer und Emil Kaspar im Sinne der Erwägungen in das Grundbuch einzutragen. TIIT. SdHWElZERBÜRGERRECHT NATIONALITE SUISSE 30. Urteil vom 1. April 1949 i. S. Mäebler und Rager gegen eidg. Justiz- und PoHzeidepartement. Schw6izerbürg6rrecht: Anerkennung der Nachkommen eines in den dreissiger Jahren des 19. Jahrhunderts ausgewanderten Bürgers der schwyzerischen Gemeinde Wan~ a.ls Schweizerbürger. Anwendung des Beschlusses des schwyzerischen Kantonsrates vom 29. April 1824 betr. Erneuernng des Landrechtes. N ationaliU SUia86: Reconnaissance, comme citoyens suisses, des descendants d'un ressortissant de la commune schwyzoise de Wangen emigre a l'etranger entre 1830 et 1840. Application de l'arr~te du Conseil du canton de Schwyz du 29 avril 1824 concernant Ie renouvellement du droit de cite cantonaJ. Diritto di cittadinanza BVizz6f'a: Riconoscimento, come cittadini svizzeri, dei discendenti d'un attinente deI comune Svittese de Wangen emigrato all'estero tra il 1830 e il 1840. Applicazione deI deereto 29 aprile 1824 deI Cantone di Svitto circa il rinnovo de1 diritto di cittadinanza cantonale. A. - Die in Ellwangen (Württemberg) wohnenden Be- schwerdeführer, die Geschwister Meinrad Philipp Mächler. geb. 1923, und Marianne Katharina, geb. 1926, seit 9. Mai Sohweizerbürgerrecht. N0 30. 193 1948 verheiratet mit dem deutschen Staatsangehörigen Karl Friedrich Rager, machen geltend, von Bürgern der schwyzerischen Gemeinde Wangen abzustammen und daher von Geburt an Schweizerbürger gewesen zu sein. Sie gehören folgender Linie an : 1. Ururahnen: Joseph Karl Mächler, Bürger von Wangen, und Maria geb. Kaufmann, seit 1803 verheiratet; 2. Urgrosseltern: Johann Nepomuk Meinrad Mächler, geb. 1804 in Wangen als Bürger dieses Ortes, von Beruf Senn (Käser), gestorben 1875 in Ellwangen, und Maria Catharina Barbara geb. Gruber (1804-1881); 3. Grosseltern : Meinrad Josef Mächler (1842-1896) und Maria Philomena geb. Apprich; 4. Eltern: Josef Kar! Mächler (1890-1945) und Maria geb. Rettenmeier. Am 2. Mai 1833 stellten Landammann und Rat des Bezirkes March (Schwyz) dem Urgrossvater Johann Nepo- muk Meinrad Mächler einen Heimatschein aus. In der Urkunde wurde die « gesetzliche zehnjährige Erneuerung dieses Heimatscheins » vorbehalten, im Hinblick auf fol- genden Beschluss des schwyzerischen Kantonsrates vom 29. April 1824: ({ Es wird der allgemeine Grnndsatz für den ganzen Kanton auf. gestellt, dass ein Landmann, wel~er in e~~ Teil unseres Kantons das Landrecht geniesst, weder semes politlS.chen Landrechtes n~h seines allfälligen Genossenrechtes verlustIg werde und folglich nicht gehalten sein solle, diese Rechte zu .erneuern, solange er an irgend einem im Gebiet unseres Kantons liegenden_Ort ~esessen ist; dagegen aber wird nach bes~e~den Grnndsätzen die zehn- jährige Landrechtserneuerung fur die ausser unseres Kantons wohnenden Landleute desselben bei Verlust des Landrechtes erforderlich mit Ausnahme sämtlicher l\filitärs, die in fremden vom hiesige~ Kanton kapitulierten Kriegsdim:;sten stehen, !?O!ange sie wirklich in einem solchen Dienste verbleIben, auch mIt Au,s- nahme der hiesigen sich ausser dem Kanton aufhalten?-en Studen- ten für die Dauer ihres Studienkurses, als welche belde K1a.ssen hiesiger Landleute während bemeldter Zeit keine Erneuerung ihres Landrechtes bedürfen.» Am 12. Mai 1838 erhielt Johann Nepomuk Meinrad Mächler von der schwyzerischen Regierung einen Reise- pass, worin er als « wohnhaft in Wangen» aufgeführt war. 13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