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193</w:t>
      </w:r>
    </w:p>
    <w:p>
      <w:r>
        <w:t>Bundesgericht (BGE), 1948-12-22, DE</w:t>
      </w:r>
    </w:p>
    <w:p>
      <w:r>
        <w:rPr>
          <w:b/>
        </w:rPr>
        <w:t xml:space="preserve">Quelle: </w:t>
      </w:r>
      <w:r>
        <w:t>https://mcp.opencaselaw.ch/entscheid/bge_74_IV_193</w:t>
      </w:r>
    </w:p>
    <w:p>
      <w:r>
        <w:t>FR: ATF 74 IV 193</w:t>
      </w:r>
    </w:p>
    <w:p>
      <w:r>
        <w:t>IT: DTF 74 IV 193</w:t>
      </w:r>
    </w:p>
    <w:p>
      <w:pPr>
        <w:pStyle w:val="Heading2"/>
      </w:pPr>
      <w:r>
        <w:t>Volltext</w:t>
      </w:r>
    </w:p>
    <w:p>
      <w:r>
        <w:t>193 I. STRAFGESETZBUCH CODE PENAL 50. Urteil des Kassationshofes vom 22. Dezember 1948 i. S. Staatsanwaltschaft des Kantons Aargau gegen Hoehstrasser. Art. 41 Zifl. 1 StGB. Voraussetzungen de8 OOdingten Strafoollzugea. 1. Der bedingte Strafvollzug kann nicht damit begründet werden, dass er den Verurteilten eher zu bessern vermöge als der Vollzug der Strafe (Erw. 1 Abs. 2). 2. Wer sich voraussichtlich nur während der Probezeit gut halten wird, erfüllt die Voraussetzungen des bedingten Strafvollzuges nicht (Erw. 1 Abs. 3). 3. Dem Verurteilten, der in angetrunkenem Zustand ein Motor- fahrzeug geführt hat, darf, auch wenn es nicht zu einem Unfall oder zu einer konkreten Gefährdung anderer gekommen ist, der bedingte Strafvollzug nur gewährt werden, wenn bestimmte besondere Umstände ernstlich annehmen lassen, dass er sich in Zukunft wohl verhalten werde (Erw. 2). Art. 41 eh. 1 OP. Oonditi &gt;, welches auch immer sein zivilrechtlicher Wohnsitz oder sein fremdenpolizeiliches Verhältnis sei (Erw. 2). 2. Art. 277bis Abs. 1 BStP. Wissen, Wille (Art. 18 Abs. 2 StGB) und Bewusstsein der Rechtswidrigkeit (Art. 20 StGB) als Tat- sachen (Erw. 3). 1. Art. 272 eh. 1 at. 1 aP, Service de renseignem,ent.s politi,qf.ia. a) Cette disposition ne suppose pas que Je prevenu a livre le nom de la personne espionnoo ni que le renseignement a cause du tort a cette derniere (consid. 1). b) Toute personne qui se trouve en Suisse en est un « babitant », queJs que soient son domicile civil et sa situation du point de vue de la police des etrangers ( consid. 2 ). 2. Art. 277bis at. 1 PPJJ'. Sont des faits la conscience, la volonte - art. 18 al. 2 CP - et la conscience d'agir contrairement au droit - art. 20 CP - (consid. 3). 1. Art. 272 cifra 1 cp. 1 GP, spionaggio politWo. a) Questo disposto non presuppone ehe l'autore abbia rivelato il nome della persona spiata, ne ehe la comunioozione Je abbia causato un nocumento (consid. 1). b) Chiunque si trova nella Svizzera ne e. un a abitante », poco importa quale sia. il suo domicilio civile e la sua situazione dal punto di vista della polizia degli stranieri (consid. 2). 2. Art. 277bis cp. 1 PPJJ'. Conoscenza, volonta (a.rt. 18 cp. 2 CP) e coscienza dell'atto illecito (art. 20 CP) quali accertamenti di fa.tto (consid. 3). A. - Ida Genilloud erklärte sich im Jahre 1943 oder anfangs 1944 gegenüber dem deutschen Spionageagenten Willi Piert bereit, ihn mit Marie Czekalla, der Köchin von Minister X. in Bern, zusammenzubringen, damit sie ihm über Wahrnehmungen, die sie bei X., dem « Sonderbeauf- tragten des Präsidenten der Vereinigten Staaten von Amerika » gemacht hatte, Auskunft gebe. Die Zusammen- kunft zwischen Piert und Marie Czekalla fand in der Wohnung 'der Ida Genilloud statt. Marie Czekalla teilte dem Agenten mit, ein deutscher Herr, dessen Hut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