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74 IV 118</w:t>
      </w:r>
    </w:p>
    <w:p>
      <w:r>
        <w:t>Bundesgericht (BGE), 1948-09-03, DE</w:t>
      </w:r>
    </w:p>
    <w:p>
      <w:r>
        <w:rPr>
          <w:b/>
        </w:rPr>
        <w:t xml:space="preserve">Quelle: </w:t>
      </w:r>
      <w:r>
        <w:t>https://mcp.opencaselaw.ch/entscheid/bge_74_IV_118</w:t>
      </w:r>
    </w:p>
    <w:p>
      <w:r>
        <w:t>FR: ATF 74 IV 118</w:t>
      </w:r>
    </w:p>
    <w:p>
      <w:r>
        <w:t>IT: DTF 74 IV 118</w:t>
      </w:r>
    </w:p>
    <w:p>
      <w:pPr>
        <w:pStyle w:val="Heading2"/>
      </w:pPr>
      <w:r>
        <w:t>Volltext</w:t>
      </w:r>
    </w:p>
    <w:p>
      <w:r>
        <w:t>118 Motorfahrzeugverkehr. No 29. III. MOTORFAHRZEUGVERKEHR CIRCULATION DES vEHICULES AUTOMOBILES 29. Urteil des Kassationshofes vom 3. September 1948 i. S. Staatsanwaltsellaft ·des Kantons Luzem gegen Omlin. Art. 61 Abs. 3 MFV. « Sohrittempo » (« allure d'un homme au pas ») ist wörtlich zu verstehen. Art. 61 al. 3 RA. L'expression « allure d'un homme au pas » doit s'interpreter litteralement. Art. 61 cp. 3 RLA. L'espressione «passo d'uomo » dev'essere inter- pretata letteralmente. A. - Omlin führte am 25. Oktober 1947 kurz nach 11 Uhr in Luzern einen Autobus der städtischen Verkehrs- betriebe durch den Hirschengraben Richtung alte Kaserne. Auf der Höhe des Burgertores, wo sich eine Strassenbahn- haltestelle ohne Schutzinsel befindet, überholte er einen dort stehenden Tramwagen links mit einer Geschwindig- keit von 15-20 km/Std. Gleichzeitig kreuzte er einen Gesellschaftswa~n, wofür Platz genug vorhanden war. Indessen bremste der Führer des Gesellschaftswagens ab, so dass dieser von hinten durch einen Lastwagen, der zu nahe aufgeschlossen hatte, gerammt wurde, wodurch Sachschaden entstand. · Omlin wurde der Widerhandlung gegen Art. 25 MFG, Art. 46 und 61 Abs. 3 MFV beschuldigt, jedoch vom Amts- gericht Luzern-Stadt am 24. März 1948 freigesprochen. B. - Gegen dieses Urteil führt die Staatsanwaltschaft des Kantons Luzern Nichtigkeitsbeschwerde mit dem Antrag, die Sache sei zur Bestrafung des Angeklagten wegen Übertretung von Art. ~l Abs. 3 MFV an das Amts- gericht zurückzuweisen. . Der Angeklagte beantragt Abweisung der Beschwerde. Motorfahrzeugverkehr. No 29. 119 Der Kassationshof zieht in Erwägung : Nach Art. 61 Abs. 3 MFV dürfen Motorfahrzeuge die haltende Strassenbahn beim Fehlen einer Schutzinsel nur links und nur in langsamer Fahrt (Schrittempo) über- holen. Omlin ist zwar links vorgefahren, aber nach der verbindlichen Feststellung der Vorinstanz mit einer Ge- schwindigkeit von mindestens 15 km/Std. Diese Ge- schwindigkeit ist an sich freilich nicht besonders hoch ; sie erlaubt im allgemeinen das Anhalten auf verhältnis- mässig kurze Distanz, besonders wenn der Fahrer von vornherein hierauf eingestellt ist. Unter den Verhältnissen, die hier vorlagen, verstösst sie aber gegen Art. 61 Abs. 3 MFV ; denn sie übersteigt offensichtlich erheblich blosses Schrittempo (allure d'un homme au pas); d. h. etwa 5 km/Std. (BGE 66 I 218). Anders kann der Begriff des Schrittempos nicht verstanden werden. Das geht nament- lich aus der Umschreibung im französischen Text klar hervor; aber auch die in BGE 66 I 2:i7 E. 2 einlässlich dargelegten sachlichen Gründe sprechen dafür, dass auf den nächstliegenden Wortsinn abgestellt wird. Demnach erkennt der Kassationshof: Die Nichtigkeitsbeschwerde wird gutgeheissen und die Sache zur Bestrafung des Beschwerdebeklagten wegen Widerhandlung gegen Art. 61 Abs. 3 MFV an die Vor- instanz zurückgewiesen. Vgl. auch Nr. 17. - Voir aussi n° 17.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