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43</w:t>
      </w:r>
    </w:p>
    <w:p>
      <w:r>
        <w:t>Bundesgericht (BGE), 1948-01-01, DE</w:t>
      </w:r>
    </w:p>
    <w:p>
      <w:r>
        <w:rPr>
          <w:b/>
        </w:rPr>
        <w:t xml:space="preserve">Quelle: </w:t>
      </w:r>
      <w:r>
        <w:t>https://mcp.opencaselaw.ch/entscheid/bge_74_II_43</w:t>
      </w:r>
    </w:p>
    <w:p>
      <w:r>
        <w:t>FR: ATF 74 II 43</w:t>
      </w:r>
    </w:p>
    <w:p>
      <w:r>
        <w:t>IT: DTF 74 II 43</w:t>
      </w:r>
    </w:p>
    <w:p>
      <w:pPr>
        <w:pStyle w:val="Heading2"/>
      </w:pPr>
      <w:r>
        <w:t>Volltext</w:t>
      </w:r>
    </w:p>
    <w:p>
      <w:r>
        <w:t>42 Obligationenrecht. N0 8. il a sans succes sollicit6 des renseignements avant l'assem- blee generale ou au cours de celle-ci, ce qui revenait a enger la presence de l'actionnaire a l'assemblee, en tant que celui-ci 'n'avait pas agi auparavant; l'arret reserve le cas des decisions contraires a des dispositions. legales imperatives ou aux bonnes mmurs, dont l'actionnaire demeure toujours libre de faire constater la nullite. Oe precedent est dans la ligne du droit allemand (§ 271 DHGB et § 198 de la loi de 1937 sur lessocieMsanonymes), d'apres lequell'actionnaire qui n'a pas assist6 al'assemblee generale est en principe dechu du droit d'attaquer les decisions qui y ont et6 prises, et l'actionnaire present n'a lui-meme ce droit qu'a condition de faire inscrire ses reserves au pro ces-verbal. Sous l'empire du Oode des obligations revise, le droit de l'actionnaire d'attaquer les decisions de l'assembIee generale ne peut plus etre soumis a de semblables res- trictions. Le texte clair de l'art. 706 00 est muet a cet egard, et cependant ses auteurs n'ignoraient certainement pas les dispositions precitees' de la Iegislation allemande. D'autre part, l'art. 706 00 confere aussi la qualiM pour agir a l'administration ; or les administrateurs ne peuvent prendre part aux decisions qui portent sur la decharge (cf. art. 695 00) et, dans la pratique, ils s'abstiennent en d'autres matieres encore, ce qui ne les prive pas du droit d'attaquer les decisions prises; c'est la preuve que l'action n'est pas subordonnee a la participation au vote ni, partant, a l'assistance a l'assemblee. Il faut considerer aussi que l'actionnaire voit son droit limiM deja quant au fond, en ce sens qu'il ne peut s'en prendre qu'a des decisions qui violent la loi ou les statuts ; lorsqu'il est victime d'une atteinte de cette gravite a ses droits, il doit pouvoir saisir le juge sans avoir a justifier d'autres con- ditions. A ce sujet, il n'y a pas lieu de distinguer selon que la decision est nulle de plein droit ou qu'elle est seulement annulable. Meme dans ce dermer cas (seul visa d'ailleurs par l'art. 706 00), la violation de la loi ou des statuts Prozessreoht. N° 9. 43 est de nature a causer un grave tort a l'actionnaire. La distinction a son importance sous d'autres rapports: la nullite absolue peut etre opposee en tout temps, par voie d'action en constatation ou par voie d'exception, et meme par l'actionnaire qui a accepM la decision, tandis que la nulliM relative ne peut "etre relevee que par l'action de l'art. 706 00, qui doit etre intent6e dans un certain dalai et ne peut emaner que d'un actionnaire qui n'a pas approuve la mesure en question par son vote ou d'autres actes concluants. Enfin, la participation a l'assemblee de l'association n'a jamais eM consideree comme une condition du droit du societaire d'attaquer en justice, conformement a l'art. 75 00, les decisions de cette assemblee (cf. EGGER, Oommentaire, note 27, et HAFTER, Oommentaire, note 7 a l'art. 75 00). III. PROZESSREOHT PROOEDURE 9. Urteil -der I. ZiviJabtellung vom 18. Februar 1948 i. S. Aktiengesellschaft Hungerbtlbler &amp; Cie gegen Gerzner. Ztdässigkeit der Berufung. . . Der Streit um das Dienstzeugnis im Dienstvertrag ISt eme ver- mögeusrechtliehe Streitigkeit im Sinne von Art. 46 OG. Rooours an rejorma. Reoovabilite. . La litige ayant trait au eertificat ~e l' employe peut eXIger de l'employeur est une contestation portant sur un droit de nature pOOuniaire dans le sens de l'art. 46 OJ. Ricorso per rijorma. Ricevibilifd· .. . La. eontestazione vertente sull attestato di servIzio ehe il lavora.- tore pub esigere dal padrone e uns lite ehe eoneerne UD diritto di ca.rattere peeuniario a'sensi dell'art. 46 OGF. A. - WilhelmGerzner, der seit 1931 als Fruchtputzer im Dienste der Akti~ngesellschaft Hungerbühler &amp; OIe, Zweibruggenmühle, gestanden hatte, wurde von dieser</w:t>
      </w:r>
    </w:p>
    <w:p>
      <w:r>
        <w:t>44 Prozessrecht. N° 9. unter Einhaltung der vorgeschriebenen Kündigungsfrist auf den 31. Mai 1947 entlassen. Er gab sich nicht zufrieden mit dem Dienstzeugnis, das ihm seine Dienstherrin aus- stellte, und erhob Klage mit dem Begehren, die Beklagte habe ihm ein Zeugnis auszustellen, das sich über seine Leistungen und sein Verhalten günstig ausspreche. B. - Das Kantonsgericht St. Gallen entschied am 24. Oktober 1947 in Bestätigung des Urteils des Arbeits- gerichts St. Gallen, dass der Kläger Anspruch habe auf ein Zeugnis, in welchem seine Leistungen und sein Ver- halten als zufriedenstellend bezeichnet werden. O. - Mit der vorliegenden Berufung beantragt die Beklagte, das angefochtene Urteil sei aufzuheben, das ihr von der Vorinstanz vorgeschriebene Zeugnis sei zu ver- weigern und das von ihr ausgestellte als zulässig zu erklären. Das Bundesgericht zieht in Erwägung : Nach der Ansicht der Beklagten handelt es sich beim Streit' um das Dienstzeugnis um eine nicht vermögens- rechtliche Streitigkeit gemäss Art. 44 Abs. lOG. In der Tat hat die staatsrechtliche Abteilung des Bundesgerichts in ihrem - in. der amtlichen Sammlung der BGE nicht veröffentlichten - Entscheid vom 27. Januar 1923 in Sachen Streit gegen Tomaschpolsky diese Auffassung vertreten. Hieran kann indessen nicht festgehalten werden. .. Wenn Art. 342 OR dem Dienstpflichtigen Anspruch auf ein Zeugnis einräumt, so hat das seinen Grund in erster Linie darin, dass ihm dadurch das wirtschaftliche Fortkommen erleichtert werden soll. Denn wer sich über seine frühere Tätigkeit durch eine ununterbrochene Kette von Zeugnissen auszuweisen vermag, findet erfahrungs- gemäss im allgemeinen leichter wieder eine neue Anstel- lung. Dass· das Zeugnis - wie die meisten Institutionen d~ Vermögensrechts - auch noch gewisse Auswirkungen auf ideellem Gebiete haben kann, indem es die persönliche Wertschätzung des Zeugnisträgers im gesellschaftlichen Prozessrecht. N° 10. 45 und öffentlichen Leben zu beeinflussen vermag, tritt gegenüber seinem materiellen Wert in den Hintergrund und ist daher für den Charakter des Streites nicht ent- scheidend. Die Schätzung seines Wertes in Geld mag gelegentlich schwierig sein; das ist aber anerkannter- massen kein Grund dafür, die Schätzbarkeit überhaupt zu verneinen. Bei Schätzung nach freiem Ermessen gemäss art. 36 Abs. 2 OG kann dem Streit über das Zeugnis unmöglich ein Wert von Fr. 4000.- beigelegt werden, wie er für die Zulässigkeit der Berufung nach Art. 46 OG erforderlich ist. Darüber waren bei der Einleitung des Streites auch die Parteien einig. Wie die Vorinstanz festgestellt, bezif- ferte der Kläger den Streitwert seiner Klage auf Fr. 2-300.-, ohne bei der Beklagten damit auf Widerspruch zu stossen. Die Berufung ist daher mangels des erforderlichen Streit- werts unzulässig. Demnach erkennt das Bundesgericht : Auf die Berufung wird nicht eingetreten. 10. Urteil der n. Zivilabteilung vom 28. Mai 1948 i.S. Baumgartnel" gegen Banmgartner. Auf eine statt beim Bundesgericht bei der ~tonalen Behör~e efugereichte AnBChJussberujung wird .nur e~etret~, wenn SIe noch innert Frist an das BundesgerIcht weItergeleitet worden ist (Art. 59 Abs. 1, 32 Abs. 3 OG). Le recours joint qui a 13M adresse a. l'autoriM cantonale, au lieu du Tribunal federal, n'est recevable que s'il a eM transrois a. ce denrier dans le delai legal (art. 59 al. 1, 32 al, 3 OJ). Il ricorso adesivo inoltrato all'autorita. cantonale invece ehe al Tribunale federale e ricevibile soltanto se e trasmesso a quest'ul- timo entro il tennine legale (art. 59 cp. 1, 32 cp. 3 OGF). Gegen das Scheidungsurteil des Obergerichts des Kan- tons Luzern vom 29. Januar 1948 legte die Beklagte recht- zeitig Berufung an das Bundesgericht ein. Nachdem der Kläger am 5. März 1948 die in Art. 56 OG vorgeschriebene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