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III 26</w:t>
      </w:r>
    </w:p>
    <w:p>
      <w:r>
        <w:t>Bundesgericht (BGE), 1947-09-10, DE</w:t>
      </w:r>
    </w:p>
    <w:p>
      <w:r>
        <w:rPr>
          <w:b/>
        </w:rPr>
        <w:t xml:space="preserve">Quelle: </w:t>
      </w:r>
      <w:r>
        <w:t>https://mcp.opencaselaw.ch/entscheid/bge_74_III_26</w:t>
      </w:r>
    </w:p>
    <w:p>
      <w:r>
        <w:t>FR: ATF 74 III 26</w:t>
      </w:r>
    </w:p>
    <w:p>
      <w:r>
        <w:t>IT: DTF 74 III 26</w:t>
      </w:r>
    </w:p>
    <w:p>
      <w:pPr>
        <w:pStyle w:val="Heading2"/>
      </w:pPr>
      <w:r>
        <w:t>Volltext</w:t>
      </w:r>
    </w:p>
    <w:p>
      <w:r>
        <w:t>26 Schuldbetreibungs- und Konkursreoht (Zivilabteihmgen). N° 9. renten zugesandt hatte. Aus dem Schreiben des Betrei- bungsamtes Thun vom 10. September 1947 ergibt sich nämlich, dass der Rekurrent gegen die Schuldnerin in Thun weitere Betreibungen auf Verwertung dieses Schuld- briefs führt, und dass dort schon vor dem 10. September 1947 das Verwertungsbegehren gestellt worden war. Die Akten bieten keinen Anhaltspunkt dafür, dass diese Betreibungen inzwischen erloschen "ären. Der Rekurrent hat also Anspruch darauf, dass der Schuldbrief dem Betreibungsamte Thun, dem er nach Stellung des Ver- wertungsbegehrens abgeliefert worden war, zu a1.1fäJliger Verwertung wieder zur Verfügung gestellt wird, sobald das Betreibungsamt Basel-Stadt ihn nicht mehr benötigt.- Was mit dem Schuldbrief nach Erledigung der Basler Betreibungen durch bedingungslose Zahlung geschehen müsste, wenn weitere Ansprüche des Rekurrenten auf diesen Titel nicht durch rechtskräftige Betreibungen nachgewiesen, 'sondern nur behauptet wären, braucht heute nicht entschieden zu werden. TI. URTEILE DER ZIVILABTEILUNGEN ARR:H:TS DES GOURS GIVILES 9. Extraft de I'anft de la He Cour eivUe du 28 femel' 1948 dans la cause SBl'torlus c. Masse en falllite de la sueeession de Pierre-Auguste Golay. Revocation d6 concordat: La decision d'une autorite cantoiuue admettant ou refusant 1&amp; revocation d'un concordat ne peut faire l'objet d'un recours en reforme au Tribunal federal. Widerruf eines N achla8Bvenrag68: Der Widerruf und ebenso die Ablehnung des Widerrufs eines Na.chla.ssvertrages durch eine kantonaJe Behörde unterliegt nicht der Berufung an das Bun- desgericht. Schuldbetreibunga- und Konkursrecht (Zivilabteilungen). NQ 9. 27 R6fJOC(J del concordato: La. decisione d'un autorita. cantonaJe che ammette 0 rifiuta. la. revoca. d'un concordato non pub essere impugnata. mediante un ricorso per riforma. a.1 Tribüna.le fede- rale. !.es juridictioDS cantonales ayant statue en qualite d'autorites concordataires sur la revocation du concordat, un recours· en reforme, dans le mesure oll. il est dirige contre cette partie du jugement, n'est pas recevable. En effet aux termes de la jurisprudence du Tribunal fademI, las lltiges relatifs a l'homologation ou a la revocation de concordats ne constituent pas des contestations civiles, mais presentent plutöt le caractere de difficultes relevant de la juridiction non-contentieuse (cf. RO 24 II 934; cf. egalement las arrets publies au RO 40 I 431 et 42 TI 527). Gette jurisprudence, rendue sous l'empire de la loi d'organisation judiciaire du 22 mars 1893, garde toute sa valeur depuis l'entree en vigueur de la nouvelle loi du 16 'decembre 1943. L'autorite competente pour statuer sur un tel litige ast une juridiction spooiale, et non la juridiction civile ordinaire. En consequence, la quastion a juger n'ast pas une affaire civile contentieuse, mais offre bien plutOt le camctere d'un incident de pro- cedure. Gomme teIle, elle ne rentre pas dans les previsio;m des art. 43 a 45 OJ, en sorte que la Cour de CßaDS n'est pas competente pour en connaitre.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