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61</w:t>
      </w:r>
    </w:p>
    <w:p>
      <w:r>
        <w:t>Bundesgericht (BGE), 1947-01-01, DE</w:t>
      </w:r>
    </w:p>
    <w:p>
      <w:r>
        <w:rPr>
          <w:b/>
        </w:rPr>
        <w:t xml:space="preserve">Quelle: </w:t>
      </w:r>
      <w:r>
        <w:t>https://mcp.opencaselaw.ch/entscheid/bge_73_III_61</w:t>
      </w:r>
    </w:p>
    <w:p>
      <w:r>
        <w:t>FR: ATF 73 III 61</w:t>
      </w:r>
    </w:p>
    <w:p>
      <w:r>
        <w:t>IT: DTF 73 III 61</w:t>
      </w:r>
    </w:p>
    <w:p>
      <w:pPr>
        <w:pStyle w:val="Heading2"/>
      </w:pPr>
      <w:r>
        <w:t>Volltext</w:t>
      </w:r>
    </w:p>
    <w:p>
      <w:r>
        <w:t>60 Schu1dbetreibungs_ und Konkursrecht. N0 J3.. Aus den Erwägungen: Dass die .als unpfandbar angesprochenen Gegenstände, Hobelbank,Waldsäge und Schraubenzwingen, unentbehr- liche Werkzeuge eines Schreinermeisters sind, ist nicht zweifelhaft. Indessen glaubt die Vorinstanz die Unpfänd- barkeitsbeschwerde deshalb abweisen zu sollen, weil diese Werkzeuge nebst allfälligen nicht gepfandeten, die der Schuldner etwa in der Wohnung noch besitzen möge, ja doch nicht ausreichend seien, um ihm die selbständige Aus- übung seines Berufes in konkurrenzfahiger Weise zu ermöglichen. Diese Betrachtungsweise ist zu engherzig. Was zur Berufsaltsübung im Wettbewerbe mit andern Berufsleuten gleicher Art unentbehrlich ist, stellt das Maximum der nach Art. 92 Ziff. 3 SchKG als unpfändbar zu belassenden Gegenstände dar (vgl. BGE 61 III 49 oben). Es kann dem Schuldner aber sehr wohl auch weniger Berufswerkzeug belassen werden, wenn er eben weniger besitzt oder bean- sprucht. Auch mit einem an sich ungenügenden Werkzeug- bestand kann ein Berufsmann etwas anfangen. Er kann sich je nach den Umständen das Fehlende leih- oder miet- weise oder durch Kauf auf Kredit (etwa auf Abzahlung) beschaffen oder sich in eine mit dein Fehlenden ausge- rüstete Werkstatt oder in eine voll ausgerüstete (unter Einsparung der Vergütung für die VOn ihm selbst mitge- brachten Werkzeuge) einmieten oder sich mit einem Werk- stattbesitzer über deren Benutzung zuArbeiten, für die er nicht genügend ausgerüstet· ist, einigen oder endlich sich mit einem andern Berufsm3nn vergesellschaften, der seinerseits entsprechend ausgerüstet ist oder sich die nötigen Werkzeuge auf die eine oder andere Art beschaffen kann. Der Schutz des Art. 92 Ziff. 3 SchKG steht dem Schuldner übrigens auch dann zu, wenn er seiner Werk- zeuge auch nur zur Ausübung eines Nebenberufes bedarf, der ihm einen allfallig notwendigen zusätzlichen Erwerb verschaffen soll. Das kommt hier sehr wohl in Frage, da Schu1dbetreibungs- und Konkursrecht. N° 14. 61 der Schuldner, falls er sich verdingen muss, mit dem Ar- beitslohn kaum auskommt, um seine Familie mit (laut Rekursvorbringen) vier unmündigen Kindern durchzu- bringen, zumal wenn er angesichts seines (auch von der . Vorinstanz erwähnten) rheumatischen Leidens öfters bei der Arbeit aussetzen und daher allenfalls mit Lohnausfall rechnen muss. Auch wenn über diese Zukunftsaussichten nur Mutmassungen angestellt werden können, lässt sich der Unpfändbarkeitsanspruch grundsätzlich nicht ver- neinen. 14:. ARet du 3 mai 1947 dans la cause Viseolo. I..a poursuite ne saurait cont,inuer si le .crea.ncier ~ ~sse d'exister. NulliM des actes accomphs au meprlB de ce prmclpe. Hat der Gläubiger zu existieren aufgehört, so ist die Weiter- führung der Betreibung unzulässig und jede trotzdem vorge- nommene Betreibungshandlung nicht,ig. L'esecuzione non puo esseTe continuata. se il creditore ha cassato di esistere. Nullita degli atti esecutivi compiuti in urto con questo principio. A. - A la requete de la Compagnie du Pays d'En- haut S. A. (ci-apres : la Compagnie), l'office des poursuites de Lausanne a notifie, le 18 mai 1946, a Renri Viscolo, qui n'a pas fait opposition, un commandement de payer 1252, fr. 75. La poursuite continua. Requise le 25 juin, la vente fut ajournee en vertu de l'art. 25 de l'ACF du 24 janvier 1941. Un acompte n'ayant pas ete paye, l'office infohna Viscolo, le 29 novembre, que les meubles saisis seralent vendus le 17 decembre. B, -'--' La Compagnie a ete radiee au registre du com- mertle 16 2 octobre 1946, selon publication dans la Feuille öfficiel1e suisse du commerce du 16 octobre. Invoquant l'inexistence de la socieM creanciere, Viscolo demanda a l'office, le 6 decembre 1946, d'annuler la poursuite. L'office s'y etant refuse, il s'adressa a. l'auto-</w:t>
      </w:r>
    </w:p>
    <w:p>
      <w:r>
        <w:t>62 Schuldbetreiblll1gs- lll1d Konkursrecht. N0 14. rite inf( ~ieure de surveillance, qui annula tous les actes de poursuite posterieurs au 16 octobre 1946. Sur recours de la Compagnie, la Cour vaudoise des poursuites et faillites a reforme ce prononce dans le sens ~re~~la~~. . O. - Viscolo recourt au Tribunal federal, en concluant a l'annulation des actes de poursuite executes apres le 16 octobre. Oonsiderant en drmt : 1. - Toute poursuite suppose un creancier. Lors donc que ce dernier casse d'exister au cours d'une poursuite regulierement introduite, l'execution forcee ne saurait continuer. En l'espece, la Compagnie s'est eteinte par sa radiation au registre du commerce (RO 42 III 40). Il s'ensuit que, faute de creancier, aucun acte de poursuite ne devait etre accompli apres le 17 octobre 1946 (art. 932 al. 2 CO) et que, posterieur a cette date, l'avis de vente est nul. La Cour cantonale n'attribue pas d'importance a l'ab- sence du creancier, car, dit-elle, « lorsqu'un actif est retrouve apres la clöture de la liquidation, les pouvoirs des liquidateurs renaissent ». Elle perd de vue qu'ils ne renaissent pas ipso facto quand la societe a ete radiee. Il faut, au prealable, que cette derniere soit reinscrite au registre du commerce. Tout interesse peut demander Ia reinscription (RO 59 II 59 ; 60 I 28 consid. 2 ; 64 I 335 ; 67 I 122 consid. 3). Cala n'a pas ete fait an l'occurrence. Suppose que la Compagnie se fasse reinscrire ou qu'un tiers se donne pour son ayant cause, Ia poursuite repren- drait son cours au stade meme Oll la radiation l'avait arrete, a moins que des prescriptions legales imperatives ne s'y opposent. 2. - Quant aux acomptes deja verses, ils resteront encore entre les mains de I 'office. Leur sort est lie a celui de la poursuite, qui, cela resulte qes considerants ci- dessus, n'est point caduque. 1 Schuldbetreibungs- und Konkursrecht. N0 15. 63 La Ohambre des pO'Ursuites et des faillites admet le recours dans le sens des motifs et annule la decision attaquee. j, 15. Arr~t du 16 mai 1947 dans 1a cause Salom. Repartition des rotes au proees de tierce opposition (art. 106-109 LP). Lorsque la chose revendiquoo n'est en ]a possession ni du debiteur ni du tiers revendiquant, mais on 'celle d'une autre personne (quart detenterir), le delai pour intenter action doit etre imparti : - au creancicr, si et dans Ia mesure OU le detenteur possede pour son compte, voire conjointement avec le debiteur (m. 109 LP); - au tiers revendiquant, si et dans la mesure OU 1e detenteur possede pour le compte du debiteur (art. 106/107 LP). Si le quart detenteur possede a. la fois pour le debiteur et pour le revendiquant, c'est au creanoier qu'appartient l'initiative de l'action (art. 109 LP). Verteilung der Parteirollen im Wider8'JYfUCksver/ahren (Art. 106-109 SchRGl· , Befindet sich die streitige Sache weder beim Schuldner noch beim Drittansprecher, sondern bei einem Vierten, so ist die Klage- frist anzusetzen: - dem Gläubiger, wenn und soweit der Vierte für sich selbst besitzt, sei es auch gemeinsam mit dem Schuldner (Art. 109 SchKG); - dem Drittansprecher, wenn und soweit der Vierte für den Schuldner besitzt (Art. 106-107 SehKG). Besitzt der Vierte für den Schuldner und zugleich für den Dritt- ansprecher, so fällt die Klägerrolle dem Gläubiger zu (Art. 109 SchKG). Posizione delle parti nella procedura di rivendicazione (art. 106-109 LEF). Quando la cosa rivendicata non einpossesso ne deI debitore, ne deI terzo rivendicante, ma d'un'altra persona (quarto deten- tore), il termine per promuovel'e azione dev'essere assegnato: - al creditore, se e nella misura in cui i1 quarto detiene per suo conto 0 anche congiuntamente col debitol'e (art. 109 LEF) ; - 'al terzo rivendicante, se e nella misura in cui il quarto detiene pel conto deI debitore (106/107 LEF). Se il quarto detiene pel debitOl'e e contemporaneam~nte peI terzo rivendicante, la posi7..i.one di attore spetta aI credltore (art. 109 LEF). A. - En execution d'une ordonnance de sequestre rendue a l'instance de Giuseppe Salom, creancier de G. F. Reber d'une somme de 86 654 fr., l'Office des pour- suites de Lausanne a, les 22 et 27 novembre 1946, ;eques-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