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72 I 257</w:t>
      </w:r>
    </w:p>
    <w:p>
      <w:r>
        <w:t>Bundesgericht (BGE), 1946-01-01, IT</w:t>
      </w:r>
    </w:p>
    <w:p>
      <w:r>
        <w:rPr>
          <w:b/>
        </w:rPr>
        <w:t xml:space="preserve">Quelle: </w:t>
      </w:r>
      <w:r>
        <w:t>https://mcp.opencaselaw.ch/entscheid/bge_72_I_257</w:t>
      </w:r>
    </w:p>
    <w:p>
      <w:r>
        <w:t>FR: ATF 72 I 257</w:t>
      </w:r>
    </w:p>
    <w:p>
      <w:r>
        <w:t>IT: DTF 72 I 257</w:t>
      </w:r>
    </w:p>
    <w:p>
      <w:pPr>
        <w:pStyle w:val="Heading2"/>
      </w:pPr>
      <w:r>
        <w:t>Regeste</w:t>
      </w:r>
    </w:p>
    <w:p>
      <w:r>
        <w:t>Verwaltungs. un essere subordinato a condi- zioni 0 ad oneri (consid •. 3) 1.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