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1</w:t>
      </w:r>
    </w:p>
    <w:p>
      <w:r>
        <w:t>Bundesgericht (BGE), 1946-01-01, DE</w:t>
      </w:r>
    </w:p>
    <w:p>
      <w:r>
        <w:rPr>
          <w:b/>
        </w:rPr>
        <w:t xml:space="preserve">Quelle: </w:t>
      </w:r>
      <w:r>
        <w:t>https://mcp.opencaselaw.ch/entscheid/bge_72_III_1</w:t>
      </w:r>
    </w:p>
    <w:p>
      <w:r>
        <w:t>FR: ATF 72 III 1</w:t>
      </w:r>
    </w:p>
    <w:p>
      <w:r>
        <w:t>IT: DTF 72 III 1</w:t>
      </w:r>
    </w:p>
    <w:p>
      <w:pPr>
        <w:pStyle w:val="Heading2"/>
      </w:pPr>
      <w:r>
        <w:t>Volltext</w:t>
      </w:r>
    </w:p>
    <w:p>
      <w:r>
        <w:t>CP • CPC. CPF. CPP. CPM LA' • LAMA LCA LF LP . OJ . OIU. PCP. PPF ROLF. CC CF CO CPS. Cpc. Cpp. DCC LCA LCAV. LEF LF • LTM. OOF RFF StF •• . Code Perm!. Code de procedure civile. Code penal fMeral. Code de procedure penale. Code penal milltaire. Loi fMerale sur 1a circulation des vehicules automobiles et des cycles. Loi sur J'assurance en cas de maladie ou d'accidents. Loi fMeraJe sur le contrat d'assurance. Loi federale. Loi fMerale sur la poursuite pour dettes et la faUlite. Organisation judiciafre federale. Ordonnance sur la realisation forc~ des immeubles. Procedure civile federale. Procedure penale federale. Recueil officiel des lois federaJes. C. Ahhrevi.azioni itaHane. CodIce civlle svizzero. eostituzione federale. Codice delle obbllgazionl. Codice penale svlzzero. Codice dl procedura civile. Codice dI procedura penale. Decreto deI Consiglio federale concernente Ia contrl- buzione federale di crisi (deI 19 gennalo 1934). Legge federale sul contratto d'assicurazione (deI 2 aprile 19(8). Legge federale sulla circolazione degll autoveicolf e del velocipedi (deI 15 marzo 1932). Legge esecuzioni e falllmentl. Legge federale. . Legge federale su1Ia tassa d'esenzione dal aervlzlo milltare (dei 28 giugno 1878129 marzo 1901). Organizzazione giudizlarla federale. Regolamento deI Tribunale federale concemente la realizzazlone forzata dl fondi (dei 23 aprile 1920). Legge federale sull'ordlnamento del funzionari federal (dei 30 giugno 1927). A. Sehaldbetreihungs- .d loDkursreeht. Poorsuite et FaIII1te. ENTSCHEIDUNGEN DER SCHULD- BETREIBUNGS- UND KONKURSKAMMER ARR1!JTS DE LA CHAMBRE DES POURSUITES ET DES FAILLITES 1. Entscheid vom 17. Januar 1946 i. S. Thomi. 1 Ist der Betriebene bevormundet, so steht das Recht zur Beschwerde- führung für ihn, auch wenn er urteilsfähig ist, ausschJ,i,ea8lich dem Vormund zu (mit Ausnahme der Beschwerde betr. Art. 92 SchKG). Art. 17, 47, 92 SchKG, 19,407 ZGB. Le debiteur 80US tutelk n'a pas qualite pour porter plainte, meme s'il est capable de discernement ; la plainte ne peut emaner que du tuteur (est reservee Ja pJainte fondee sur l'art. 92 LP). Art. 17. 47, 92 LP, 19, .07 ce. TI debitore 8Otto turela non ha veste per interporre reclamo, anch;e se e capace di discernimento ; il diritto di reclamo spetta um- ~ente al tutore (eccet~uato il reclamo fondato sull'art. 92 LEF). Art. 17,47,92 LEF, 19, 407 CC. Auf Beschwerde der Gläubigerin erklärte die untere Aufsichtsbehörde den von der entmündigten Betriebenen ohne Wissen des Vormundes erhobenen Rechtsvoischia;g ungültig. Auf einen Rekurs der Betriebenen hiegegen ttat die obefÖ Aüfsichtsbehörde ein in der Erwägung, die Ein- leitung des kostenlosen Beschwerdeverfahrens durch einen urteilsfähigen Entmündigten möge als ein Geschäft be- trachtet werden,durch das er höchstens Vorteile erwerben könne (Art. 19 Abs. 2 ZGB) ; Elie wies jedoch den Rekurs 1· AS 72 m - 1946</w:t>
      </w:r>
    </w:p>
    <w:p>
      <w:r>
        <w:t>.2 Schuldbetreibungs- und Konkursrecht. N° 1. ab, weil die Erhebung eines Rechtsvorschlages kein solches risikofreies Geschäft sei. Mit dem vorliegenden Rekurs hält die Betriebene an ihrem Begehren auf Anerkennung ihres Rechtsvorschlages fest, im wesentlichen mit der Begründung, Wenn die Bevor- mundung ihre Bestrafung durch das - übrigens unzu- ständige - Gericht nicht gehindert habe, so könne sie auch der Erhebung des Rechtsvorschlags nicht entgegen- stehen. Die Schuldbetreibungs- und Konhurskammer zieht in Erwägung: Nach Art. 407 ZGB « vertritt der Vormund den Bevor- mundeten in allen rechtlichen Angelegenheiten ». Das gilt grundsätzlich auch für betreibungsrechtliche Handlungen des bevormundeten Betriebenen, weshalb denn auch Art. 47 SchKG vorschreibt, dass die Betreibungsurkunden dem V prmund zuzustellen sind. Dieser hat den Schuldner im Betreibungsverfahren zu vertreten. Ihm liegt ob, alle zUr Wahrung der Schuldnerinteresaen gebotenen Vor- kehren zu treffen. Dazu gehört auch die Anrmung der Aufsichtsbehörden durch Beschwerde nach Art. 17 ff. SchKG, wo immer dazu Veranlassung besteht. Die Ver- tretungsmacht des Vormundes schliesst grundsätzlich gleichwie im Zivilprozess ein Handeln des Mündels selbst aus, auch wenn er urteilsfähig ist (BGE 68 In 116; 40 In 268 e contrario). Es kommt also nicht darauf an, ob - im Sinne des ..Art. 19 Abs. 2 ZGB - mit der Be- schwerde eine Betreibungsvorkehr zur Geltung gebracht werden wolle, die lediglich zur Abwendung einer Belastung bestimmt ist. Eine Ausnahme hat die Praxis nur bezüglich der beschwerdeweisen Geltendmachung der Unpfändbar- keit nach Art. 92 SchKG zugelassen, da es sich dabei um die Wahrnehmung eines die wirtsohaftliche u.nd moralische Existenz des bevormundeten Betriebenen unmittelbar betreffenden Anspruchs handelt, die daher der Ausübung eines dem Rechtssubjekt um seiner Persönlichkeit willen Schuldbetreibungs- und Konkursrecht. N0 2. 3 zustehenden Rechts gleichgehalten zu werden verdient (BGE 68 In 117; vgl. 68 IV 160). Hinsichtlich der Be- schwerdeauf Anerkennung eines ohne Vertretung durch den . Vormund erhobenen Rechtsvorschlags rechtfertigt sich eine solche Ausnahme nicht. Die Vorinstanz hätte daher auf die Beschwerde nicht eintreten,sollen. Nachdem sie es aber getan hat, ist der vorliegende Rekurs nicht abzuweisen, sondern - da er am gleichen Mangel der Legitimation leidet wie die Beschwerde - darauf nicht einzutreten. Demnach erkennt die Schuldbetr.- u. Konkurskammer : Auf den Rekurs wird nicht eingetreten. 2. Arr~t du I) fevrier 1946 da.ns la. cause Junod. TardiveM d'une tierce opposition formoo dans le dessein de retarder la ponrsuite (art. 106-109 LP). Verspä.tete Drittansprache in der Absicht, die Betreibung zu verzögern (Art. 106-109 SchKG). Tardivitil. d'una rivendicazione sollevata nell'intento di ritardare l'esecuzione (art. 106-109 LEF). A la re'quisition de Roger Junod, l'office des poursuites de Geneve a saisi au prejudice d'Erich Hertel, le 21 avril et le 12 mai 1945, un certain nombre de biens enumeres sous n DS 1 a 36 du pr()ces-verbal. Le debiteur, present a la saisie, a indique que les objets n DS 26 a 33 etaient la propriete d'un Sieur Sirmann. Ce dernier, dont la reven- dication fut contestee, n'a pas ouvert action. Le 16 juin 1945, Junod a fait proceder a une nouvelle saisie qui porta sur deux machines a coudre et sur une bicyclette d'homme. Le debiteur declara qu'une des machines appartenait a sa fille. Junod ayant ouvert une action en contestation de cette revendication, Dlle HerteI a reconnu que cette machine appartenait a son pare et retira sa pretention.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