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33</w:t>
      </w:r>
    </w:p>
    <w:p>
      <w:r>
        <w:t>Bundesgericht (BGE), 1945-01-01, DE</w:t>
      </w:r>
    </w:p>
    <w:p>
      <w:r>
        <w:rPr>
          <w:b/>
        </w:rPr>
        <w:t xml:space="preserve">Quelle: </w:t>
      </w:r>
      <w:r>
        <w:t>https://mcp.opencaselaw.ch/entscheid/bge_71_IV_33</w:t>
      </w:r>
    </w:p>
    <w:p>
      <w:r>
        <w:t>FR: ATF 71 IV 33</w:t>
      </w:r>
    </w:p>
    <w:p>
      <w:r>
        <w:t>IT: DTF 71 IV 33</w:t>
      </w:r>
    </w:p>
    <w:p>
      <w:pPr>
        <w:pStyle w:val="Heading2"/>
      </w:pPr>
      <w:r>
        <w:t>Volltext</w:t>
      </w:r>
    </w:p>
    <w:p>
      <w:r>
        <w:t>3" Strafgesetzbuch. No 6. 6. - Keine Schwierigkeit bietet endlich die Frage der Rehabilitation, wenn die Hauptstrafe bedingt vollziehba.r ist., Zwar sehen Art. 76 bis 78 StGB die Wiedereinsetzung in die bürgerliche Ehrenfähigkeit, in die Wählbarkeit zu einem Amte, in die elterliche Gewalt und in die Fähigkeit, Vormund oder Beistand zu sein, nur vor für den Fall, dass das Urteil seit mindestens zwei Jahren vollzogen ist. Der Fall, wo der zu einer bedingt vollziehbaren Strafe Verur- teilte sich während der Probezeit bewährt, ist nicht geregelt. Diese Lücke, welche auf die bereits erwähnte irrige Auffassung über die Unvereinbarkeit von Neben- strafen mit einer bedingt vollziehbaren Hauptstrafe zurückzuführen ist, ist dahin auszufüllen, dass die zwei- jährige Frist, nach deren Ablauf die Rehabilitation früh. stens zulässig ist, von der Rechtskraft des Urteils an gerechnet wird. Sie läuft somit vom gleichen Zeitpunkt an, von dem an die Dauer der Nebenstrafe gerechnet wird. Die gleiche Übereinstimmung ergibt sich nach dem Ge- setz, wenn die Hauptstrafe unbedingt vollzieh bar ist : beide Fristen beginnen dann mit der Beendigung des Vollzugs der Hauptstrafe zu laufen (Art. öl Abs. 2 und Art. 77, Art. 52 Ziff. 3 und Art. 76, Art. 54 Abs. 2 und Art. 79 StGB). Dass die zweijährige Rehabilitationsfrist unter Umstän- den vor der Probezeit abläuft, stört insofern nicht, als der Richter nicht verpflichtet, sondern· bloss berechtigt ist, den Verrirteilten nach Ablauf jener Frist zu rehabilitieren. Es liegt in seinem Ermessen, ob er es tun will. Vernünf-· tigerweise wird er es solange nicht tun, als die Probezeit nicht abgelaufen ist und somit nicht feststeht, ob sich der Verurteilte bewähren wird. Demnach erkennt der Kassationshof : I. - Die Nichtigkeitsbeschwerde der Hulda Stauss wird im Strafpunkt abgewiesen. Im Zivilpunkt wird darauf nicht eingetreten. 2. - Die Nichtigkeitsbeschwerde des Generalprokura- Strafgesetzbuch. No 7. 33 tors wird gutgeheissen und die Vorinstanz angewiesen, der Verurteilten Hulda Stauss für die zehnjährige Landes- verweisung den bedingten Strafvollzug nicht zu gewähren. 7. Auszug aus dem Urteil des Kassationshofes vom 2. Februar 1945 i. S. Koeehlln gegen Statthalteramt Luzem-Stadt. Art. 168 StGB. Der Tatbestand des Stimmenkaufs im Nachlass- verfahren erfordert weder, da. &gt; steht mithin eine Ehre zu, die verletzt werden kann und deren Verletzung strafbar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