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223</w:t>
      </w:r>
    </w:p>
    <w:p>
      <w:r>
        <w:t>Bundesgericht (BGE), 1945-01-01, DE</w:t>
      </w:r>
    </w:p>
    <w:p>
      <w:r>
        <w:rPr>
          <w:b/>
        </w:rPr>
        <w:t xml:space="preserve">Quelle: </w:t>
      </w:r>
      <w:r>
        <w:t>https://mcp.opencaselaw.ch/entscheid/bge_71_II_223</w:t>
      </w:r>
    </w:p>
    <w:p>
      <w:r>
        <w:t>FR: ATF 71 II 223</w:t>
      </w:r>
    </w:p>
    <w:p>
      <w:r>
        <w:t>IT: DTF 71 II 223</w:t>
      </w:r>
    </w:p>
    <w:p>
      <w:pPr>
        <w:pStyle w:val="Heading2"/>
      </w:pPr>
      <w:r>
        <w:t>Volltext</w:t>
      </w:r>
    </w:p>
    <w:p>
      <w:r>
        <w:t>IV. OBLIGATIONENRECHT DROIT DES OBLIGA1'IONS 49. Auszug AUS dem Urteil der J. ZivUabteUung "OIU 2G. ScptcmlJer IM5 1. S. Jos. Habeuger G.Ill.b.ll. gegen \V. Kulm und Sohn. Bedeut.ung eines Butätigung86c"rei ~1W im kaufmänni8Chen Ver· kehr, ~ von der mündlich getroffenen Vereinbarung a.bweicht. Significat.ion da Ja. leUro da confirmo.tion qui s'bcart.o da ce qui B ete convenu oralement entre commerc;anta. Significato d'wla. lettera. di confenna ehe si 8008ta da quanto pattuito oralmente tra. commerciauti. 2, - Entgegen der Meinung der Vorinstanz folgt &amp;US dem Scheitern des Nachweises für den Abschluss einer mündlichen Vereinba.rung am 7. Mä.rz noch nicht ohne weiteres die UnoogrÜßdetheit der eingeklagten Forderung. Die Vorinstanz hat aUSBor acht gelassen, dass ein BeaU.- tigungs8chreiben im kaufmännisohen Verkehr nicht bl088 die Bedeutung eines Beweismittels für einen vora.usgegan- genen mündlichen Vertragsschluss ha.ben kann, sondern dass ihm darüber hina.us unter Umständen rechtserzeu- gende Kraft zukommt. Das ist der Fall, wenn der Inhalt der BOg. Bestätigung von der mündlich getroffenen Verein- barung a.bweicht oder neue Bedingungen enthä.lt, und der Empfänger dara.uf schweigt. Dann hat das Bestätigungs- schreiben nämlich den Chara.kter einer VertragsofIerte und das StiUschweigell des Empfängers ist a.ls deren Annahme 16 AS 11 H _ 19~(i 224 Obligatiollenreoht. N° 49. zu betrachten (BGE 30 II 301, 38 II 587, 40 II 138, welche Entscheide die Vorinstanz in Verkennu,ng ihrer Trag~eite lediglich dafür anruft, dass das Unterbleiben eines Wider- spruchs gegen ein Bestätigungsschreiben ein starkes Indiz für dessen Richtigkeit, also fÜr die übereinstimmu,ng seines Inhalts mit der mündlichen Vereinbarung, bilde; vgl. fer- ner SCHLÄPFER, die Bedeutung des Schweigens beim Ver- tragsschluss nach schweiz. Recht, S. 73 ff. ; gleich für das deutsche Recht DÜRINGER /lIACHENBURG, Komm. zum HGB 3. Aufi. Band 4 S. 399 ff. ; RGZ 129 S. 347 ff.). Diese Grundsätze über die Folgen des Schweigens auf ein Bestätigungsschreiben gelten nun aber nur unter der Voraussetzung, dass Treu und Glauben, Verkehrssicher- heit, Handelsübung sie rechtfertigen. Dies trifft nur zu, wenn der Absender der ehrlichen überzeugung ist, in sei- nem Bestätigungsschreiben lediglich das zusammengefasst zu haben, was tatsächlich bereits mündlich vereinbart war. Das kommt in den oben erwähnten Entscheiden des Bun- desgerichtes, abgesehen vielleicht von demjenigen in Band 30 II 301, nicht mit der erforderlichen Deutlichkeit Zl~m Ausdruck und ist deshalb hier nachdrücklich hervorzu- heben. Bestätigt der Absender bewusst etwas von der mündlichen Vereinbarung Abweichendes oder stellt er bewusst eine Vereinbarung fest, die in Wirklichkeit gar nicht stattgefunden hat, so hat man es mit der arglistigen Erschleichung eines Vertragsschlusses zu tun, die keinen Schutz verdient. Solche Bestätigungsschreiben kann der Empfänger ohne Schaden unbeantwortet lassen (vgl. RGZ 129 S. 347; DÜRINGER/llAcHENBURG sowie SCHLÄPFER a.a.O.). 3. - Die Betrachtung des vorliegenden Falles im Lichte dieser Erwägungen führt zu folgendem Ergebnis: Das Stillschweigen der Beklagten auf das Schreiben vom 7. März 1944, das ihr unbestrittenermassen zugekommen ist, begründet gemäss Art. 6 OR die Vermutung, dass ein Vertrag zustandegekommen sei, dessen Inhalt sich aus dem sog. Bestätigungsschreiben ergibt. Die Beklagte, die Obligatiollenrecht. N° 50. 225· es nicht für nötig fand, der Klägerin mitzuteilen, dass sie mit dem Inhalt des Schreibens nicht einig gehe, trifft nun die volle Beweislast dafür, dass der Inhalt der sog. Bestä- tigung der am 7. März getroffenen Abmachungen tatsäch- lich nicht entspreche, und darüber hinaus, dass sich die Klägerin dieser Diskrepanz bewusst war. 50. Auszug uus dem Urteil der I. ZivilabtciluDO Vom 9. Oktober 1945 L S. Schweizer gegen Staat Zürich. Beamtenhaftpflicht ; Büligkeitahaltung des Urteilsunlähigen. Haftung des kantonalen Beamten gegenüber dem Staat für Scha- den aus Dienstpfiichtverletzungen und unerlaubter Handlung; anwendbares Recht, Zulässigkeit der Berufung. Art. 362, 41 ff. OR, Art. 60 Abs. I lit. c OG (Erw. I). Billigkeitshaftung des Urteilsunfähigen, Voraussetzungen. Art. 54 Abs. I OR (Erw. 3-6, 8). Reaponsabilite du lonctionnaire cantonal envers I'Etat en raison du domrnage resultant de 180 violation des devoirs de 180 charge et de 180 comrnission d'actes illicites, droit applicable, art. 362 et 41 sv. CO. - RecevabiliM du recours en reforme, art. 60 a1. ler, lettre c OJ (consid. I). ReaponsabiliU par motil d'equiU d'une per80nne privee de diBcerne- ment ; conditions, art. 54 a1. I er CO (consid. 3 a. 6 et 8). ReaponBabilitd deZ lunzionario cantonale verso 10 Stato a motivo deI danno risultante daUa violazione dei doveri di servizio e da atti illeciti ; art. 362 e 41 seg. CO. Diritto applicabiIe, ricevibilitit. deI ricorso per riforma, art. 60, cp. I, lett. c, OGF (consid. I). Reaponsabilitd, per motivi d'equitd, d'una per80na incapace di discernimento ; condizioni ; art. 54 cp. I CO (consid. 3·6 e 8). Aus dem Tatbestand .- Notar Schweizer in Zürich unterschlug aus seiner Amts- kasse einen Betrag von ca. Fr. 40,000.-, den er im wesent- lichen zur Gewährung von Darlehen an Dritte verwendete. Femer verpfändete er einen Schuldbrief, der zu der Erb- schaft Neyroud gehörte, als deren amtlicher Erbschafts- verwalter er bestellt worden war, und hob vom Posteheck- konto der Erbschaft Geld ab, das er für sich verwendete. Das gegen ihn eingeleitete Strafverfahren wurde wegen Urteilsunfähigkeit des Angeschuldigten eingestellt. Da- gegen wurde er seines Amtes enthoben. Mit Rücksicht auf .D~t: T 7-.lL. /l S '1 154 Obligationencecht. N° 32. 32. Auszug aus dem Urteil der I. Zivilabteilung vom 20. Februar 1951 i. S. Frank A.-G. gegen FrigaJiment GmbH. Speditionsvertrag, Haftung für Zwischenspediteu1·e. Stillschweigende Vereinbarung der Massgeblichkeit der allgemeinen Bedingungen des Schweiz. Spediteurenverbandes (Erw. 4). Zu- lässigkeit der vertraglichen Haftungsbeschränlcung des Spedi- teurs auf sorgfältige Auswahl und Instruktion des Zwischen- spediteurs (Erw. 5). Pflicht des Spediteurs, den Versender auf die Haftungsbeschrän- kung besonders aufmerksam zu machen? (Erw. 6). Contrat du commissionnaire-expediteur. ou agent de transpo1·t, res- ponsabilite pour les sous-agents. 'Convention tacite selon laquelle les conditions generales des com- missionnaires-expediteurs suisses font regle (consid. 4). Legiti- miM de la clause restreignant la responsabilite du commission- naire-expediteur a. la diligence dans le choix et l'instruction du sous-agent (consid. 5). Obligation du commissionnaire-expediteur d'attirer specialement l'attention de l'expediteur sur cette limitation de la respon- sabilite? (consid. 6). Contratto dello spedizioniere ; responsabilitd dei sottoagenti. Convenzione tacita, secondo cui le condizioni generali degli spedi- zionieri svizzeri sono determinanti (consid. 4) Legittimita. della clausola che limita la responsabilitd dello speditore alla diligenza neUa scelta e all'istruzione deI sottoagente (consid. 5). Obbligo dello spedizioniere di attirare l'attenzione deI mittente su questa limitazione deUa responsabilita.. Aus dem Tatbestand: Die Kolonialwaren-Importfirma Steiner in Luzern be- auftragte die Transportfirma Frank A.-G. in Basel mit dem Transport von 22 t. Kakaobohnen von Rotterdam nach Kopenhagen an die Schokoladefabrik 0strup-Jeppesen. Steiner trat in der Folge die Rechte aus dem Speditions- vertrag an die Frigaliment GmbH in St. Margrethen (SG) ab. Diese gab der Frank A.-G. die Weisung, der Empfän- gerin die Ware nur auszuliefern gegen die schriftliche Er- klärung, dass sie diese der Frigaliment GmbH zur Ver- fügung halte. Die FrankA.-G. leitete diese Weisung an den von ihr beauftragten Zwischenspediteur in Rotterdam, die Firma Kersten, Hunik &amp; Co., weiter, welche sie ihrerseits dem Empfangsspediteur in Kopenhagen, der Firma Tuxen &amp; Hagemann, übermittelte. Diese führte die Weisung aber Obligationencecht. N° 32. 155 nicht richtig aus, indem sie sich mit einer Erklärung begnügte, wonach die Scholcolade, d. h. also nicht die übergebene Rohware, sondern das Fertigprodukt, der Fri- galiment GmbH zur Verfügung stehen sollte. Damit war dieser die Verfügungs möglichkeit über die Rohware, die sie sich mit der erwähnten Weisung sichern wollte, ent- zogen, und ihre Bestrebungen, das Transportgut vom Emp- . fänger wieder herauszubekommen, blieben erfolglos. Die Frigaliment GmbH belangte die Frank A.-G. auf Ersatz des Wertes der Sendung von rund Fr. 63,000.-, weil die Beklagte, bezw. deren Zwischenfrachtführer ihre Weisungen nicht richtig ausgeführt hätten. Die Beklagte wendete ein, sie habe die ihr erteilten Weisungen richtig weitergeleitet. Für ein allfälliges Verschulden der Unter- spediteure sei sie nicht verantwortlich, da sie nach den anwendbaren allgemeinen Bedingungen des schweiz. Spe- diteurenverbandes nur für sorgfältige Auswahl und Instruk- tion der Unterspediteure hafte. Das Zivilgericht Basel-Stadt wies die Klage ab, das Appellationsgericht dagegen schützte sie für den Betrag von Fr. 30,000.- . Das Bundesgerichtheisst die Berufung der Beklagten gut und weist die Klage ab. Erwägungen : 4 . ... Für den Fehler der Firma Tuxen &amp; Hagemann h!).t die Beklagte entgegen der Meinung der Vorinstanz nicht einzustehen. Die « Allgemeinen Bedingungen des schwei- zerischen Spediteuren-Verbandes ))vom Jahre 1922 (ABSped, abgedruckt bei OCHSE, Der Speditions vertrag , Diss. Zürich 1933, S. 136 ff.) bestimmen nämlich in Art. 3 Abs. 2 : « Werden zur Durchführung der Spedition Transportanstalten irgendwelcher Art, Unterspediteure ... beansprucht, so haftet der Spediteur lediglich für deren sorgfältige Auswahl und Instmktion. Entstehen bei der Durchführung der Spedition Schäden, für welche den Spediteur kein Verschulden trifft, so hat er dem Auftraggeber lediglich die ihm gegen allfällig verantwortliche Dritte zustehenden Ansprüche abzutreten; eine weitere Haftung besteht nicht. )) Für den streitigen Speditionsvertrag wurde die Mass- geblichkeit der ABSped zwischen Steiner und der Beklag- 156 Obligatiollenrecht. N° 32. ten allerdings nicht besonders vereinbart. In Ueberein- stimmung mit der ersten Instanz ist indessen anzunehmen, dass sie dem Vertrags verhältnis stillschweigend zu Grunde gelegt wurden, indem beide Parteien ihre Geltung als selbst- verständlich voraussetzten. Aus den Klageantwortbeilagen 1 und 2 geht nämlich hervor, dass die Kolonialwaren- Importfirma Steiner seit Jahren mit dem beklagten Spe- ditionsunternehmen in Geschäftsbeziehung stand und ihm im Jahre 1946 vier grössere Transportaufträge erteilt hatte. Dafür hatte Steiner das vorgedruckte Auftragsformular der Beklagten verwendet, dessen erster Satz lautet: « Wir übergeben Ihnen auf Grund der, Allgemeinen Bestimmun- gen', festgesetzt vom Schweizerischen Spediteuren-Ver- band, nachstehende Partie zum Abtransport :». Ob Stei- ner diese ABSped damals oder früher einmal gelesen hatte oder ob er jeweilen auf ungelesene allgemeine Geschäfts- bedingungen Bezug nahm, ist ohne Belang. Es ist zumal unter Kaufleuten eIn selbstverständlicher Grundsatz, dass allgemeine Geschäftsbedingungen, auf welche Bezug ge- nommen wird, jeweilen Vertragsinhalt werden. Es genügt, dass der Kunde, der ausdrücklich und in nicht zu über- sehender Weise auf das Bestehen allgemeiner Geschäfts- bedingungen aufmerksam gemacht wird, die Möglichkeit hat, sich von deren Inhalt Kenntnis zu verschaffen. Ob er sich dazu die Mühe nimmt, ist rechtlich bedeutungslos. Abgesehen hievon darf nach der Erfahrung des Lebens davon ausgegangen werden, dass eine schweizerische Im- port firma regelmässig um das Bestehen der schon seit 1922 im Gebrauch befindlichen ABSped weiss. Die Firma Steiner muss übrigens aller Wahrscheinlichkeit nach die ABSped besessen haben. Wie aus den Akten hervorgeht, pflegte die Beklagte ihre Offerten auf vorgedruckten For- mularen zu machen. Am Fusse dieses Formulars steht unterstrichen zu lesen, dass für alle Vereinbarungen und Aufträge die ABSped gelten, und es wird klar auf die Rückseite verwiesen, wo die ABSped vollständig abgedruckt sind. Es liegt auf der Hand, dass auch Steiner im Laufe des Obligationenrecht. N° 32. 157 Geschäftsverkehrs mit der Beklagten Offerten auf solchen Formularen erhielt. Aber auch wenn dies nicht zutreffen sollte, wusste Steiner auf Grund der bisherigen, auf vor- gedrucktem Formular erteilten Transportaufträge, dass die Beklagte stets auf der Grundlage der ABSped kontrahiere. Es widerspricht Treu und Glauben im Verkehr, wenn er, nachdem er während des ganzen Jahres 1946 auf Grund solcher Formulare Speditionsaufträge an die Beklagte er- teilt hatte, für einen Anfang Mai 1947 brieflich und ohne jeden Vorbehalt erteilten gleichartigen Auftrag nun plötz- lich die Massgeblichkeit der ABSped bestreitet. Ganz besonders stossend erscheint es, dass gerade die Klägerin diesen Standpunkt einzunehmen versucht. Bei ihr handelt es sich nach ihren Briefköpfen um eine Engros- Importgesellschaft, die über Gefrierlagerräume mit 1000 Tonnen Fassungsraum verfügt und die laufend Waren aus Europa und übersee einführt. Nach den Beilagen zur Kla- geantwort hat sie allein im Monat März 1946 mit der Beklagten drei grosse Transportaufträge abgeschlossen, und zwar jeweils auf Grund einer Offerte mit den bereits er- wähnten Hinweisen nebst Wiedergabe der ABSped, sowie auf Grund des ebenfalls schon erwähnten Transportauf- tragsformulars der Beklagten. Eine Importfirma, die aus eigenen Geschäften mit der Beklagten vom Frühjahr 1946 her derartige Dokumente in Händen hat, darf ein Jahr später nicht gehört werden mit der Einwendung, die ABSped bildeten nur dann die Grundlage eines von der Beklagten angenommenen Speditionsauftrages, wenn diese Bedingungen ausdrücklich als massgebend bezeichnet wur- den. Im übrigen kommt es nicht darauf an, was die Klägerin im Mai 1947 mit Bezug auf das heute streitige Geschäft annahm oder nicht annahm. Entscheidend ist, dass der Abschlusspartner Steiner damals nach den Regeln des anständigen kaufmännischen Verkehrs die ABSped als Vertragsgrundlage gelten lassen musste. Die Vorinstanz glaubt, die gegenteilige Auffassung da- mit begründen zu können, dass die ABSped namentlich IG8 Obligationenrechb. N° 32. wegen der weitgehenden Freizeichnungen für den Ver- sender ungünstig, überdies umfangreich, kompliziert und unübersichtlich seien und erfahrungsgemäss häufig nicht gelesen würden. Das letztere ist, wie bereits ausgeführt, auf jeden Fall unerheblich. Dass die ABSped unübersicht- lich, kompliziert und besonders umfangreich wären, trifft nicht zu. Sie sind zudem seit nahezu 30 Jahren in der Schweiz im Gebrauch, und von einem Importeur darf er- wartet werden, dass er um die Grundzüge dieser ABSped weiss und sie versteht. Das gehört zum ordentlichen Ge- schäftsbetrieb eines Importunternehmens. Die wichtigsten Freizeichnungen sind in Art. 3 der ABSped enthalten und klar genug abgefasst. Steiner hat sie bei allen vorausge- gangenen Geschäften ausdrücklich als massgebend hin- genommen und aus diesem Grunde muss man nach Treu und Glauben davon ausgehen, dass er sie stillschweigend auch im vorliegenden Fall hinnahm; andernfalls wäre es an ihm gewesen, sie ausdrücklich auszuschliessen. Aus dem- selben Grunde kommt auch nichts darauf an, dass die ABSped bei der Abwicklung der früheren Geschäfte nie aktuell wurden. 5. - Für den Fall der grundsätzlichen Anwendbarkeit der ABSped macht die Klägerin geltend, die Beschränkung der Haftung auf gehörige Sorgfalt bei der Auswahl und Instruktion der Zwischenspediteure sei sittenwidrig und daher nichtig (Art. 19 Abs. 2 OR). Steiner und die Klägerin seien für den in Frage stehenden Transport auf einen Spe- diteur angewiesen gewesen, der Mitglied des Schweizeri- schen Spediteurenverbandes ist. Es sei gerichtsbekannt, dass sämt1jche schweizerischen Speditionsfirmen, die mit einem solchen Transport betraut werden konnten, dem Schweizerischen Spediteuren-Verband angehören. Diese Freizeichnungsklausel sei Steiner und der Klägerin von der Beklagten « unter Ausnützung ihrer MonopolsteIlung auf- gezwungen worden ». Diese Einrede ist jedoch unbegründet. Zunächst wäre es Sache der Klägerin gewesen, die behauptete Monopolstel- Obligationenrecht. N° 32. 159 lung der Beklagten oder des schweizerischen Spediteuren- Verbandes überhaupt nachzuweisen. Nach den Darlegungen von OCHsii, S. 30 f., der diese Verhältnisse im Jahre 1933 untersucht hat, kann davon in der Schweiz nicht die Rede sein; es beständen vielmehr an jedem Orte bedeutende Firmen, die dem Verband nicht angehören. Im übrigen bleibt es eine offene Frage, ob nicht eine Firma, z.B. auch die Beklagte, auf besonderes Verlangen zu einer vertrag- lichen Änderung einzelner Freizeichnungsklauseln Hand bieten würde, wenn der Versender bereit ist, die ent- sprechende Erhöhung der Speditionskosten zu übernehmen. Aber selbst wenn die Klägerin das Bestehen einer tat- sächlichen MonopolsteIlung der Beklagten nachgewiesen hätte, wäre ihre Einrede zu verwerfen. Wieso die in Frage stehende blosse Beschränkung der Haftung für Unterspe- diteure und ähnliche zur Ausführung des Speditionsauf- trages beigezogene, selbständig handelnde Dritte gegen die guten Sitten verstossen sollte, ist weder unter dem Ge- sichtspunkt der beteiligten Parteien, noch unter demjeni- gen des Gemeinwohles einzusehen, zumal wenn man in Betracht zieht, dass Art. 101 Abs 2 und 3 OR (mit einer hier nicht zutreffenden Ausnahme) sogar die WegbedingunK der Haftung für eigentliche Hilfspersonen, für echte Er- füllungsgehilfen, gestattet, wozu der selbständige Unter- beauftragte (Substitut) nicht gehört. Selbst im deutschen Recht, auf das sich die Klägerin für ihre Auffassung glaubt berufen zu können, hat die Rechtsprechung zu den bis 1927 geltenden alten ABSped unter dem Gesichtspunkt des Mo- nopolmissbrauchs einzig den Ausschluss der Haftung für grobes Verschulden des Geschäftsinhabers und der leitenden Angestellten als sittenwidrig bezeichnet. Im Haftungsaus- schluss für nicht leitende Angestellte oder für beigezogene selbständige Dritte wurde dagegen nie eine Sittenwidrig- keit erblickt, und namentlich auch nicht in der Beschrän- kung der Haftung auf sorgfältige Auswahl und Instruk- tion von Unterspediteuren, wie sie hier in Frage steht (vgl. RAISER, Das Recht der allgemeinen Geschäftsbedin- '00 Obl;l\"tionel1roohl. N0 32. gungen, S. :102 0'., S. 308 fL, OOUSE o..a..O. S. 30 f. ; DÜRH~­ GER-HACIlEN"ßURO, Kommentar zum HOB, V / 2, S. 940 f. , Anm. 11 , 13). 6. - Die Kliigerin wendet eventuell noch ein, die Be- klagte uiirftc sich auf die streitige Haftungsbcschränkung nur berufen, wonn sie zuvor St.einer und ihr Gelegenheit gegeben hätt-e, sich gegen den Ausschluss der Haftung für die Zwischenspediteure durch eine Transportversicherung zu schützen. Das sei nicht geschehen. Dadurch, dass der Spediteur es unterlies8, den Versender auf die Zwcckmii.ssigkeit einer die Haftungsbeschräukung ausgleichenden Versicherung hinzuweisen, wird die Haf- tungsbcschränkung als solche nicht sittenwidrig. Dagegen kann sich fragen, ob eine solche Unterlassung nach dem Umständen nicht eine Haftung des Spediteurs aus culpa in conLrahendo begründe. Das wurde in der deutschen Rccht-sprechung bejaht beim Nicbtbinweis auf die Zweck- mn.ssigkeit einer Versicherung wertvoller Güter (vgl. DU- RINGER-HACHENBURO, 0..0..0. N. 11 und 13). Dieser Gesichtspunkt trifft im vorliegenden FaJl nieht zu. Die der Firma St.einer wie der Klägerin bekamlt.en ABSped erklären in Art. 2 Abs. 2 klar, dass der S~t.eur die Ver- sicherung nur a.uf ausdl·ückliche, schrift.liche Weisung des Auftmggebers besorgt. Das ist sogar auf der Vorderseite des von der Beklagten im Verkehr mit Steiller und der K.lägerin gebrauchten OfIertformulars noch besonders wie- derholt, wo es IlCisst : « Die Versicherung decken wir nur aus schriftlichem, fw· jedo Sendung speziell zu erteilen- dem Auftrag ». Und in dem von Steiner, wie von der Klägerin wiederholt gebrauchten, von der Bekla.gten zur Verfügung gestellten, yorgedruckten 'l'ransport.a.uftmgs- Formular findet sich eine Rubrik « Versicherung (Gesell- schaft, genaue Konditionen) 11. Diese Rubrik wurde von der Klägerin jeweils ziemlich genau ausgefüllt, von Steiner allgemein durch blasse Angabe der gewünschten Versi- cherungsgesellschaft. Da es sich boi Stciner (wie übrigens auch bei der Klägerin) um eine Importfirma handelte, war VersicherungsvertrBg. N0 33. 161 es seine Sache, hier die nötigen Anträge zu stellen, und es geht auf keinen Fall an, die eigene Sorglosigkeit in Ver- sicherungs fragen im Wege der culpa in contrahendo auf die Gegenpartei abzuwälzen, gar noch mit Bezug auf die Be- stimmung in Art. 3 Abs. 2 der ABSped über die Beschrän- kung der Haftung für Auswahl und Instruktion von dritten Unter beauftragten. 7. - Erweist sich somit die Klage schon auf Grund der vorstehenden Erwägungen als unbegründet, so braucht nicht Stellung genommen zu werden zu der Auffassung der Vorinstanz, dass der Zwischenspediteur (soweit nicht Transporthandlungen in Frage stehen, was hier nicht der Fall ist), als Hilfsperson im Sinne von Art. 101 OR zu betrachten sei, für welche die Beklagte einzustehen habe. Vgl. auch Nr. 36, 37. - Voir aussi n OB 36,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