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III 129</w:t>
      </w:r>
    </w:p>
    <w:p>
      <w:r>
        <w:t>Bundesgericht (BGE), 1945-02-28, DE</w:t>
      </w:r>
    </w:p>
    <w:p>
      <w:r>
        <w:rPr>
          <w:b/>
        </w:rPr>
        <w:t xml:space="preserve">Quelle: </w:t>
      </w:r>
      <w:r>
        <w:t>https://mcp.opencaselaw.ch/entscheid/bge_71_III_129</w:t>
      </w:r>
    </w:p>
    <w:p>
      <w:r>
        <w:t>FR: ATF 71 III 129</w:t>
      </w:r>
    </w:p>
    <w:p>
      <w:r>
        <w:t>IT: DTF 71 III 129</w:t>
      </w:r>
    </w:p>
    <w:p>
      <w:pPr>
        <w:pStyle w:val="Heading2"/>
      </w:pPr>
      <w:r>
        <w:t>Volltext</w:t>
      </w:r>
    </w:p>
    <w:p>
      <w:r>
        <w:t>129 Sehuldbetreibungs- und lonkursreeht. Ponrsoite et Fal1llte. I. ANWEISUNGEN DER SCHULDBETREmUNGS- UND KONKURSKAMMER INSTRUOTIONS DE LA CHAMBRE DES POUR- SUITES ET DES FAILLITES 33. Anweisungen vom 28. Februar 1945 an die BetreIbungs- und Konkursämter. 1. Verlustschein. Anga.ben betreffend die Forderung. 2. Neuas obliga.torisohes Formular für leere Pfändungsurkunden. 3. Ablauf der Fristen. 1. Der Verlustschein infolge Pfändu,ng (Forniular Nr. 36) enthält wie das Betreibungsbegehren eine Rubrik « Grund der Forderung und Datum der Ausstellung der Schuldur- kunde ». Dort sind; wie übrigens eine Fussnote hervorhebt, die betreffenden Angaben des Betreibungsbegehrens voll- ständig zu wiederholen. Wir haben festgestellt, dass dies in manchen Fällen vernachlässigt wird, sei es, dass eine Angabe überhaupt fehlt, oder dass lediglich geschrieben wird « lau,t Zahlungsbefehl» und dergleichen. Dem Gläu- biger können daraus schwere Nachteile erwaohsen, wie sich in einem kürzlich beurteilten Zivilprozess gezeigt hat (BGE 69 III 89 ff.). Wir laden die Betreibungsämter daher ein, die erwähnte Vorschrift fortan einzuha,lten. 9 AB 71 m - 1945 130 Schuldbetreibungs- und Konkursrecht. N° 33. 2. Wird kein pfändbar res Vermögen festgestellt, so bildet die Pfändungsurkunde nach Art. 115, Abs. I, SchKG den Verlustschein im Sinne von Art. 149 SchKG. Es genügt nicht, solchenfalls in der Pfändungsurkunde einfach diese Wirkung festzustellen. Vielmehr bedarf es der Aufnahme aller Angaben, die im Verlustschein enthalten sein müssen. Wir haben nun für leere Pfändungsurkunden ein neues obligatorisches Formular Nr. 7 f ,(liniert) und 7 g (unliniert) aufgestellt - Beilage -, das bei der Drucksachen- und Materialzentrale der Bundeskanzlei bezogen werden kann. Wir machen noch besonders darauf aufmerksam, dass der Zins der Forderung auf den Tag der Aus- stellung dieses gleichwie des gewöhnlichen Verlustscheins nachzurechnen ist. 3. Wir benützen diese Gelegenheit, um Sie auf Art. 169 des neuen Gesetzes über die Organisation der Bundes- rechtspflege vom 16. Dezember 1943 hinzuweisen, wonach Art. 31, Aba. 4, SchKG auf den Zeitpunkt des Inkraft- tretens jenes Gesetzes, den 1. Januar 1945, aufgehoben ist. Die Fristen -des Schuldbetreibungs- und Konkursrechtes laufen also nicht mehr um 18 Uhr, sondern erst um 24 Uhr des letzten Tages ab. Instruct(ons du 28 fevrier 1945 aux omces de ponrsuite et de faiUlte. 1. Actes de defaut da biens, indications relatives a 180 crea.nce. 2. Nouvelle formule obligatoire pour les proces-verbaux de saisie an cas d'inexistence de biens saisissables. 3. Expiration des delais. 1. L'acte de defaut de biens apres saisie (formule N0 36) oontient, tout comme la requisition de poursuite, une rubri- Schuldbetreib1lIlgs- und Konkursrecht. N° 33. 131 que intitulee : « Titre et date de la creance ou cause de l'obligation ». Comme l'indique la note, il y a lieu de re- porter sous cette. rubrique toutes les indications figurant a la meme place sur la requisition de poursuite. Nous avons eu l'occasion de oonstater que cette prescription n'etait pas tou,jours observee ; les indications etaient incompletes ou l'office s'etait contente de la formule « selon le comman- dement de payer » ou d'une formule analogue. Cela peut avoir de graves consequences pour le creancier, ainsi qu'on a pu le constater dans un amt recent (ATF 69, III, 89 s.). Nous invitons donc les fonctionnaires des offices a veiller au respect de cette prescription. 2. L'article 115 de la loi sur la poursuite pour dettes et la fai1lite dispose que, s'il n'y a pas de biens saisissables, le 'pro ces-verbal de saisie vaut comme acte de defaut de biens dans le sens de l'article 149. Il ne suffit pas d'indiquer sim- plement la chose dans le proces-verbal. Il faut que celui-ci reproduisa toutes les indications que doit contenir l'acte de defaut de biens. Nous avons donc fait imprimer une nouvelle formule obligatoire que vous trouverez ci-jointe et qui portera les N°s 7 f et 7 g, salon qu'elle sera lignee ou non. On pouITa se la pro eurer a la centrale des imprimes de la chancellerie federale. Nous signaions tout particu- lierement que l'interet de la creance doit etre calcule au jour de retablissement de cet acte, tout comme pour l'acte' de defaut de biens ordinaire. 3. Nous saisissons cette occasion pour appeler votre atten- tion sur l'article 169 de la nouvelle loi d'organisation judi- ciaire federale, du 16 decembre 1943, qui a abroge l'article 31, 4e alinea, de la loi sur la poursuite pour dettes et la faillite. Il s'ensuit que, depuis le 1 er janvier 1945, les delais fixes par cette loi expirent le dernier jour non plus a 18 heures, mais a 24 heures. 132 Sohuldbetreibungs- und KonkUl'Bl"OOht. N° 33. Istruzloni 28 febbralo 1945 aBn uUfcl d'esecuzlone e dei fallimentl. 1. Attestati di ca.renza di beni, indica.zioni concementi il credito. 2. Nuovo modulo obbligatorio per i verhali di pignoramento nel ca.so in cui non esistano beni pignorabili. 3. Scadenza dei termini. 1. L'attestato di carenza di beni in seguito 80 pignoramento (modulo N. 36) contiene, come 180 domanda di eseeuzione, u,na rubriea intitolata ~ Causa deI eredito e data deI titolo di eredito ». Come risulta dalla nota in calee, si debbono riprodurre. sotto quests. rubriea tutte le indicazioni figu- ranti nella domanda di eseeuzione alla rubriea eorrispon- dente. Abbiamo eostatato ehe questa norma non e stata. sempre rispettata; Ie indicazioni erano ineomplete, 0 l'u.ffieio si e aecontentato di formule eome « vedi il precetto eseeutivo »e simili. Ne possono derivare gravi eonseguenze pel ereditore, eome si e potuto costatare in oeeasione d'nna sentenza recente (RU 69 III 89 e seg.). Invitiamo pertanto i funzionari degli uffiei a.d ossequiare questa. preserizione. 2. L'art~ 115 della legge sull'eseeuzione e sul fallimento prevede ehe, se non esistono beni pignorabili, il verbale di pignoramento eostituisee pel ereditOJ:e l'attestato di earenza. di beni 80' sensi dell'art. 14:9 LEF. Non basta menzionare semplicemente questa eonseguenza nel verbale. Oeeorre ehe 10 stesso riproduea tutte le indieazioni ehe deve con- tenere l'attestato di earenzadi beni~ Abbiamo quindi fatto stampare un nuovo modulo obbligatorio ehe troverete allegato e ehe portera i numeri 7 f e 7 g a seeonda ehe sara rigato 0 no. Si potra proeurarsi questo module presso 180 Centrale degli stampati della Caneelleria federale. Fae- eiamo notare in ispeeial modo ehe, come per l'attestato ordinario di earenza di beni, l'interesse deI credito de- v'essere caleolato alla data della stesl,ll'a. dell'attestato. Sohuldbetreibungs- und Konkursreoht. N° 34. 133 3. Cogliamo l'oecasione per attfrare l'attenzione sull'art. 169 della nuova Iegge 16 dicembre 194:3 sull'organizzazione giudiziaria federale ehe ha abrogato l'art. 31 ep. 4: delblo Iegge sull'eseeuzione e sul fallimento. Ne segue ehe dal prima gennaio 194:5 i termini fissati dalla LEF spirano l'ultimo giorno non alle ore 18, ma alle ore 24:. II. ENTSCHEIDUNGEN DER SCHULD- BETREIBUNGS- UND KONKURSKAMMER ARR~TS DE LA CHAMBRE DES POURSUITES ET DES FAILLITES 34. Entscheid vom 27. August 1945 i. S. Eigenmann. GeUendmachung streitiger Rechtsansprüche der Konkursmasse. Bei Bescblussunfähigkeit der 2. Gläubigerversammlung ist ein Gläubigerbeschluss über Geltendmachung oder Verzicht trotz.- dem erforderlich (sei es auch auf dem Zirku1arweg), bevor einzelne Gläubiger die Abtretung verlangen können. Verfügt die Konkursverwaltung selbstherrlich den Verzicht der Masse, so kann jeder Gläubiger sich darüber binnen zehn Tagen be- schweren. Art. 17, 252-255, 260 SchKG, 47 ff. KV. E:J;ercwe des droits lmgieua; de la '/"IUJ88e. Pour qu'un creancier puisse demander la cession d'un droit de la masse, il faut que las creanciers aient prealablement dooide (ne serait-ce que par reponse a. une lettre circulaire) s'ils le feront ou non valoir eux-mames, et cela mame dans le cas Oll la deuxieme assemblee aurait eM incapable de prendreune dooisio~. Si l'administration de la faillite dooide de son propre chef que la mass~ renonce a faire valorr un droit, tout creancier peut porter plainte contre cette dooision dans le delai· de dix jours. Art. 17, 252 a. 255, 260 LP, 47 et suiv. Ord. fail. E8ercizio tlei diritti litigiosi deUa maBBa. Affinche un ereditore possa domandare la cessione d'un diritto della massa, occorre ehe i creditori abbiano previamente deciso (fossa anche soltanto mediante risposta. a.d una lettem circolare) se 10 fa.ranno va.lere o no essi medesimi, e cil&gt; anche nel caso in cui la. seconda assemblea fosse stata inca.pa.ce di prendere uns. decisione. Se l'amministrazione deI fallimento decide per proprio conto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