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70 I 172</w:t>
      </w:r>
    </w:p>
    <w:p>
      <w:r>
        <w:t>Bundesgericht (BGE), 1931-07-02, DE</w:t>
      </w:r>
    </w:p>
    <w:p>
      <w:r>
        <w:rPr>
          <w:b/>
        </w:rPr>
        <w:t xml:space="preserve">Quelle: </w:t>
      </w:r>
      <w:r>
        <w:t>https://mcp.opencaselaw.ch/entscheid/bge_70_I_172</w:t>
      </w:r>
    </w:p>
    <w:p>
      <w:r>
        <w:t>FR: ATF 70 I 172</w:t>
      </w:r>
    </w:p>
    <w:p>
      <w:r>
        <w:t>IT: DTF 70 I 172</w:t>
      </w:r>
    </w:p>
    <w:p>
      <w:pPr>
        <w:pStyle w:val="Heading2"/>
      </w:pPr>
      <w:r>
        <w:t>Volltext</w:t>
      </w:r>
    </w:p>
    <w:p>
      <w:r>
        <w:t>172 Verwaltungs. und Disziplinarl'echtspflege. gen zu erwirken, Einwendungen vorzubringen, deren Geltendmachung im Veranlagungs- und Beschwerdever- fahren versäumt wurde (vgl. dazu den nicht publizierten Entscheid vom 2. Juli 1931 i. S. Wolf betreffend die neue ausserordentliche Kriegssteuer, ferner BGE 48 I S. 126 ff., 56 I S. 114 ff., den nicht publizierten Entscheid vom 15. Juli 1943 i. S. Mahler, und J. BLUMENSTEIN : a.a.O.). Im Zivilrecht verhält es sich nicht anders. Auch dort ist es grundsätzlich unzulässig, die Wirkung der Rechts- kraft auf dem Umweg eines Bereicherungsanspruches oot der Behauptung zu bekämpfen, ein Urteil sei materiell unrichtig und daher der Gegner durch das Urteil grundlos bereichert (VON Tmm/SIEGWART: Obligationenrecht, II. Aufl. S. 418 f.). 40. Auszug aus dem Urteil vom 15. September 1944 i. S. B. gegen eidg. Steuerverwaltung. Krieg8ge~nna..teJuer: ~ufw:endWlgen für die Benützung von G;esch.?itsraumen (~letzmse und dgl.) sind GeschäftsWlkosten; SIe dunen, wenn SIe mehrere Jahre betreffen auf die ganze Mietdauer verteilt werden. ' Imp.ot ~r le8 bene{ice8 de guerre. Les depenses faites pou,r l'uti~ hsatlOn. de locaux commerciaux (loyer etc.) sont des frais d'expl UImses a. l'impöt special sur les tantlemes en leur qualiM d organes de la. socieM. Imposta per la dij68a nazionale: Le persone che partecipano a.Ila. gestione d'una societB. anonima conformemente a.ll'art. 717 CO sono assoggettate aU 'imposta specia.le StU « tantiemes » neUa loro qualitB. di organi deUa societa.. A. - Der Beschwerdeführer ist Abteilungsdirektor der Aluminium-Industrie-Aktiengesellschaft in Chippis. Er hat in der Steuererklärung für die eidgenössische Wehr- steuer, vom 29. Dezember 1941, neben seiner Besoldung eine Tantieme angegeben und ist dafür der Sonderbe- lastung nach Art. 39/47 WStB unterworfen worden. Er hat diese Besteuerung angefochten' mit der Begründung, die gesetzlichen Voraussetzungen df.\.für seien nicht erfüllt. Er gehöre als Abteilungsdirektor nicht zu den « Organen der Geschäftsführung» der AIAG. Geschäftsführende Direktoren seien nur jene, die dem Direktorium angehö- ren. Den Abteilungsdirektoren stehe bei geschäftlichen Transaktionen keine Entscheidungsbefugnis zu. Ihre Auf- gabe sei lediglich die Ausführung der vom Direktorium gefassten Beschlüsse und gelegentlich, soweit sie zuge- zogen würden, die Beratung des Direktoriums. B. - Das Obergericht des.Kantons Schaffhausen hat die Besteuerung geschützt im wesentlichen mit der Be- gründung, die Stellung der Abteilungsdirektoren als « Organe der Geschäftsführung» beruhe auf § 20, Abs. 1 der StatutBl! der Unternehlnffilg und der dort getroffenen Ordnung der Vertretung der Gesellschaft. O. - Mit rechtzeitig eingereichter Verwaltungsgerichts- beschwerde beantragt der Beschwerdeführer, den ange- fochtenen Entscheid aufzuheben und festzustellen, dass er bei der Wehrsteuer nicht zu einer Sonderabgabe auf Tantiemen herangezogen werden dürfe. Zur Be- gründung Wi.i'd im wesentlichen ausgeführt, das Oberge- richt häbe sich schon früher in einem Entscheid betr. die eidg. Krisenabgabe mit der Frage zu befassen gehabt, 12 AS 70 I - 1944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