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229</w:t>
      </w:r>
    </w:p>
    <w:p>
      <w:r>
        <w:t>Bundesgericht (BGE), 1944-01-01, DE</w:t>
      </w:r>
    </w:p>
    <w:p>
      <w:r>
        <w:rPr>
          <w:b/>
        </w:rPr>
        <w:t xml:space="preserve">Quelle: </w:t>
      </w:r>
      <w:r>
        <w:t>https://mcp.opencaselaw.ch/entscheid/bge_70_II_229</w:t>
      </w:r>
    </w:p>
    <w:p>
      <w:r>
        <w:t>FR: ATF 70 II 229</w:t>
      </w:r>
    </w:p>
    <w:p>
      <w:r>
        <w:t>IT: DTF 70 II 229</w:t>
      </w:r>
    </w:p>
    <w:p>
      <w:pPr>
        <w:pStyle w:val="Heading2"/>
      </w:pPr>
      <w:r>
        <w:t>Volltext</w:t>
      </w:r>
    </w:p>
    <w:p>
      <w:r>
        <w:t>228 Obligationenrecht. N° 40. über eine unbewegliche Sache gar nicht besteht, wie es die Klägerin im vorliegenden Falle behauptet, kommt für den Dritteigentümer eine Anzeige an den·Vermieter über- haupt nicht in Betracht. Er kann sich also auf die erwähnte Weise nur sehr mangelhaft gegen Retentionen der ihm gehörenden Sachen schützen, und iin. übrigen besteht selbst dort, wo das Unterbleiben der Eigentumsanzeige seiner Nachlässigkeit zuzuschreiben ist, kein Grund, sein Eigentum ohne Rücksicht darauf, ob die Voraussetzungen von Art.·272 ORerfüllt seien oder nicht, dem ZUgriff des retinierenden Gläubigers preiszugeben. Die Vorschrift von Art. 845 Abs. 2 ZGB, die beim Schuldbrief dem Eigentümer der Pfandsache ausdrücklich die Einreden des Schuldners gewährt, und deren Übertragung auf das Retentionsrecht JAEGER (a.a.O.) wegen ihres Ausnahmecharakters ablehnt, wurde deswegen erlassen, weil beim Schuldbrief die ·Ein~ reden des persönlichen Schuldners dnrchArt. 872 ZGB in besonderer Weise besch,.-änkt sind (vgl. Erl. 3 S. 227), sodass daraus· nicht geschlossen werden darf, der Dritt- eigentümer einer zu . Pfand beanspruchten Sache sei im allgemeihen nicht berechtigt, die Voraussetzungen· für den Bestand des Pfandrechts zu bestreiten. Auf den vorider Klägerin· erhobenen Einwand, der Vertrag zwischen der Beklagten und der betriebenen Schuldnerinsei kein Miet~ vertrag 'übereine unbewegliche Sache, istdahereinzu- treten. ..'...- Die Anfechtung· des·· Retentionsrechtes dUrch den Dritteigentümerbeeinflusst das Verhältnis zwischen dem Retentionsgläubiger und dem Retentionsschuldner selbstverstäildlichnur insoweit, als ·.die· dem· Dritten gehörenden Gegenstände im Falle seines Obsiegens nicht zur Deckung der Retentionsforderung . verWertet werden können; Vgl. auch Nr. 34, 41, 44. - Voiraussi nOB 34, 41, 44. Versioherungsvertng. N°4L VII. VERSICHERUNGSVERTRAG CONTRAT D'ASSURANCE 4.1. Sentenza 13 settembre 1944 deDa Ia Sezione eivile neIia causa InseIminl contro «La Basilese ». 229 Natura e portata deU'assicurazione contro gli infortuni ; rimborso deDe spese di cura. Applica.zione deU'art.96 LCA. Rechttmatur und Tragweite der Unfallversicherung; EJ:S8tz der Heilungskosten. Anwendung von Art. 96. VVG. . Nature et porMe de l'assurance' cont~e les a.ccidents; rembourse· ment des frais de traitement. Application de"art. 96 LCA. Eligio InseImini, vittimad'un infortunio automobili- stico, ~ ha. convenuto« La. Basilese»,compagnia d'a.ssicu .. razioni, . per ottenere, tra. l'a1tro, il rimborsodelle· spese di cura. Dall'ammonta.re diquestespese di cura. la con,. venuta ha chiesto che sia. dedotto« rannnontare di5QO fr., che « La. Winterthur ha versato all'Inselminiper spese mediche edospedaliere I) in virtil d'unapolizza. d'assicu- razione controgli infortuni da lui stipulata privata.mente.: per quest'ammonta.re « La. Winterthur» sa.rebbe subro- gata, giusta l'art. 72 LCA applicabile invecedell'art. 96 LCA, nei .diritti delleso, il' qualenon potrebbe quindipiu farlivalere neiconfronti deI. terzo responsabile .. Sulla questionesollevata dalricorrente ladottrinanon e concorde.· .Alcuni autoD si pronuncianoper 10. tesidella convenuta (TmLo, Journal des Tribunaux, 1934, pag. 450 ; DEWATTEVILLE neUa Schweizerische Versicherungszeit- schrift, fascicolo deI marzo 1934, pag. 371 e 374; PETJm- MANN, ibidem, fascicolo delluglio 1934, pag. 137 eseg .. ; FARNER, L'assurance privee contre las accidents et Ia. responsabilite civile, 1943, &lt;pag. 17,71 /72). D'opinione oontrariasiprofessano invece OFTINGER(Schweizerisches Haftpflichtrecht,vol. I,pag. 282) ; Bussy (Commen~ 230 Versicherungsvertrag. N° 41. de la LCA, art. 41, nota 4 B, ep. 2 ; rivista ({ 'l'ouring » deI 6 ottobre 1938). Finora il Tribullale'federale non si e pronunciato espres- samente su tale questione : con la sentenza. 20 maggio 1932 neDa oausa Vereinigte Bem-Worb-Bahn oontro Remund (RU 58 II 253/254) ha diohlarato ehe dall'indennita spettante al le80 atitolo di risareimento deI danno non sono dedueibili le prestazioni a dipendenza· d'un'assiou- razione delle persone, e eon Ia sentenza 7 Iuglio 1932 nella oausa Langenthal-Jura-Bahn contro Kläntsohl (RU 58 II 260/261) ha rifiutato di tene:re conto, nel determinare l'indennits. dovuta in virtu della responsabilit8.oiVile delle ferrovie, delle prestazioni dipendenti da un'assicu- razione contro gli infortuni ehe un terzo aveva oonolusa a favore delleso. Per giustificare questo rifiuto, il Tribunale federale si e bensl fondato .su1l'art. 13 della LRCF, ma ha anche posto ilprineipio eheuna deduzionee ammissibile soltanto quando, in forzad'uno speciaJe disposto di Iegge, il diritto al risaroimento deI danno passa dalleso all'assi- curatore, . il ehe e eseluso nel eampo dell'assieurazione delle persone. E indubbio ehe l'assiourazione contro. gli infortuni entra. nel novero delle assieurazioni delle persone. In sostanza si tratta dell'assioura.zione di risehl espressi mediante una somma fissa, il eui pagamento e esigibile 001 prodursi d'un infortunio, senza ßhe oceorra fol1lire Ia prova d'un dalmo. Si e invoeato questo fatto per giusti- fica.re l'eselusione deI diritto di regresso a' sensi dell'm. 96 LCA nel campo dell'assiourazione eontrQ gli infortuni.· Ma anehe in questo campo e possibile stipulare un'assiourazione a copertura deI danno effettivo, speoiaJmente dell'effettiva perdita di gnadagno. Come il Tribunale federale ha dichia- rato (RU 63 II 151e seg.), non se ne deve tuttavia con- cludere ehe l'assicurazione eontro gli infortuni diventi un'assieurazione contro i danni. Una siffatta eonclusione e ancor meno aocettabile per quanto oonceme le sole spese di cura, gis. pel motivo ehe il contratto d'assicurazione contro g1i infortuni sarebbe seisso in due. parti. Versicherungsvertrag. N° 41. 231 Oocorre tener presente 10 scopo dell'assicurazio11e delle persone. L'assiourazione sulla vita e l'assieurazione contro gli infortuni mirano a coprire i risehi cui e esposta l'inte- grits. corporale dell'uomo. Quanto l'assicurato spende per coprire questi rischl deve pervenire intatto a lui od ai suoi diseendenti, indipendentemente dalla circostanza che un terzo causi la Iesione e sia quindi tenuto al risareimento deI danno. Questo principio ehe, per essere efficace, deve applica1'si a tutte le prestazioni d'assiourazione, anche quindi al rimborso delle spese di cura, e stato ripetutamente confermato dal Tribunale federale : una « compensatio danni cum lucro » nel senso di eomputare nel danno le somme versateal leso a dipendenza d'una assieurazione sulla vita 0 contro gli infortuni e ingiustifieata giS. pel motivo che l'aumento dei di lui patrimonio non e la con- seguenza adeguata dell'infortunio, ma proviene da uns. causa giuridica particolare ; inolt1'e non sarebbe conforme all'equits. ehe il terzo responsabile d'un danno possa trarre p1'ofitto dalla previdenza deI leso ehe- ha versato i premi d'assieurazione (RU 53 II 498, 59 II 464, 64 II 429/430, 65 II 261/262). Si deve inoltre tener presente 10 stretto nesso ehe esiste tra le spese di cura ed il grado d'invalidita : a seconda delle cure cui il leso si sottopone, la sua incapacita al lavoro puo essere piu 0 meno grande, il ehe influisce natu- ralmente sulla misura deI risarcimento dovuta al leso per perdita di guadagno. Data questa interdipendenza, n011 e ammissibile considerare dive1'samente le spese di eura e l'indennita per perdita di guadagno : si tratta di due prestazioni indissoeiabili dell'assicurazione contro gli infor- tuni. Non sarebbe deI resto equo ehe il terzo responsabile deI danno potesse trarre profitto da queste spese. Inoltre non appare per nulla ingiustificato ehe, accanto al risarcimento deI danno da parte deI terzo responsabile, il leso ottenga anco1'a il rimborso delle spese di cura in virtu d'un'assicurazione ch'egli ha stipulata privatamente. Il risa1'eimento deI terzo responsabile si limita a quelle spese di cura ehe S0110 strettamente necessarie. Non si 232 Erfindungsschutz. N° 42. vede perche gli dovr~bbe essere impedito di procurarsi con quanto· riceve dalla suddetta assicurazione privata un trattamento che' vada . oltre gli angusti limiti dello stretto necessario. Infine· devesi osservare che la tesi della convenuta aprirebbe una pericolosa breeeia nel principio posto dall'art. 96 LCA : la sua logica applicazione oondurrebbe a riconoscere' il diritto di regresso non soltanto per le spese· di cura, ma anehe per tutte. quelle altre prestazioni ehe il contratto d'assieurazione contro gli infortuni prevede a copertura d'un danno. Per i suesposti motivi, non si puo riconoscere alla con- venuta il diritto aHa deduzione deI suddetto importo di 500 fr. » . VIII. MOTORFAHRZEUGVERKEHR . CIRCULATION DES VEHICULES AUTOMOBILES Vgl. Nr. 41. - Voirno 41. IX. ERFINDUNGSSCHUTZ BREVETS D'INVENTION .. 42. Auszug aus dem Urteil der I. ZivilabteiluDU vom 31. Oktober 19441. S. Krupp gegen AJbiswerkZörich A.-G. Teilnichtigkeit eine,s P~nte8 wegen Teilidentität(~t. 16 Ziff .. 5 PatG). Art. 5 Abs; 3 PatG ; diePatentbeschreibu.ng darf nur zur Aus- legu;ng, nieht zur Ergänzung. des Patentanspruches herange- zogen werden (Erw. 3; Bestätigung der Rechtsprechung). NuUiu partieUe du brevet d'une invention formant enpartie l'obiet d'un brevet €interieur (art. 16, eh. 5 LBI). Art .. ß..a1. 3LBI : La description jointe a 180 demande de brevet peut servir pour interpreter, non pour compteter 180 revendica- tion (consid. 3, confirniation de la jurisprudence). . Erfindungssahutz. N0 42. 233 NuUitii parziale del breootto d'une invenzione ehe e in parte oggetto d'un brevetto anteriore (art. 16, cifra 5 LBI). Art. 5 cp. 3 LBI : La. descrizione annessa alla domanda di brevetto puo servire per interpretare 0 per completare la. rivendica.zione (consid. 3, conferma della giurisprudenza). A. - Die Friedrich Krupp A.-G. in ESsen (Deutschland) war Inhaberin des am 6. Mai 1932 auf Grund deutscher Prioritäten vom 18., 20. Juli und 28. August 1931 ange- meldeten Schweizer Hauptpatentes Nr. 161'100, das eine « Gesinterte Hartmetallegierung » betrifft und dessen Hauptansprueh lautet : «Gesinterte Hartmetallegierung für Arbeitsgeräte und Werk- zeuge, die ein Karbid schwer schmelzbarer Metalle und ein nie- drigerschmelzendes Hilfsmetall enthält, dadurch gekennzeichnet, dass sie als höher schmelzenden Bestandteil Titankarbid enthält .• B.· - Am 28_ April 1943 reiohte die Albiswerk Zürieh A.-G. gegen die Fried. Krupp A.-G. Klage ein mit dem Rechtsbegehren, es sei das Patent Nr. 161'100 teilweise nichtig zu erklären in dem Sinne, dass I. der Patentanspruch . eingeschränkt wird auf Hart- metallegierungen mit einem Titankarbidgehalt bis zu 50 % ; 2. insofern als Teile der Beschreibung mit der Neuord- nung des Patentanspruchsrucht vereinbar sind, sie als nicht vorhanden gelten sollen. Die Klage stützte sich auf Art. 16 Zifi. 5 Pata. Die Klägerin verwies auf das am 1. August 1931 auf Grund der deutschen Priorität vom 21. August 1930 angemeldete und am 1. November 1932 veröffentlichte SchweiZer Hauptpatent Nr. 156'813, das den Titel « Hartmetall » trägt und dessen Hauptanspruch I lautet : «Hartmetall aus mindestens einem Karbid und einem Hilfs- metall, dadurch gekennzeichnet, dass es über 50 % Titankarbid enthält .• Inhaberin dieses Patentes ist die « Fides, Gesellschaft für die Verwaltung und Verwertung von gewerblichen Schutzrechten m.b.H. » in Berlin.Sie wird in der Schweiz durch die Klägerin vertreten.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