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69 IV 193</w:t>
      </w:r>
    </w:p>
    <w:p>
      <w:r>
        <w:t>Bundesgericht (BGE), 1943-07-07, DE</w:t>
      </w:r>
    </w:p>
    <w:p>
      <w:r>
        <w:rPr>
          <w:b/>
        </w:rPr>
        <w:t xml:space="preserve">Quelle: </w:t>
      </w:r>
      <w:r>
        <w:t>https://mcp.opencaselaw.ch/entscheid/bge_69_IV_193</w:t>
      </w:r>
    </w:p>
    <w:p>
      <w:r>
        <w:t>FR: ATF 69 IV 193</w:t>
      </w:r>
    </w:p>
    <w:p>
      <w:r>
        <w:t>IT: DTF 69 IV 193</w:t>
      </w:r>
    </w:p>
    <w:p>
      <w:pPr>
        <w:pStyle w:val="Heading2"/>
      </w:pPr>
      <w:r>
        <w:t>Volltext</w:t>
      </w:r>
    </w:p>
    <w:p>
      <w:r>
        <w:t>191 sujet en m~me temps :que sur le fond. La Cour de cassa- tion ne peut donc entrer en matiere. Par oes motifs, la O is ( § 8 de la loi du 9 mars 1938 Sa.r la. ~­ duie pena.le en ma.tiere d'a.tteintes a l'honneur et au Cl'edit). Una. doma.nda. di concilia.zione equivale .~ ~ d~unci&amp; ,pe:riale solo qu.ando fallito il tentativo di conc1lia.zione, il procedbbento pena.le ha ~orso senza. nu.ova. dichiarazione del. den~a.nteJ Cosi non e secondo il diritto lu,cernese ( § 8 della legge 9 ma.rzo. 1938 su,lla. procedura. pena.le in materia di offesa. all'onore ed al credito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