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132</w:t>
      </w:r>
    </w:p>
    <w:p>
      <w:r>
        <w:t>Bundesgericht (BGE), 1941-01-01, FR</w:t>
      </w:r>
    </w:p>
    <w:p>
      <w:r>
        <w:rPr>
          <w:b/>
        </w:rPr>
        <w:t xml:space="preserve">Quelle: </w:t>
      </w:r>
      <w:r>
        <w:t>https://mcp.opencaselaw.ch/entscheid/bge_67_II_132</w:t>
      </w:r>
    </w:p>
    <w:p>
      <w:r>
        <w:t>FR: ATF 67 II 132</w:t>
      </w:r>
    </w:p>
    <w:p>
      <w:r>
        <w:t>IT: DTF 67 II 132</w:t>
      </w:r>
    </w:p>
    <w:p>
      <w:pPr>
        <w:pStyle w:val="Heading2"/>
      </w:pPr>
      <w:r>
        <w:t>Volltext</w:t>
      </w:r>
    </w:p>
    <w:p>
      <w:r>
        <w:t>132 Obligationenrecht. N0 32. eine Berufung auf Rechtsmissbrauch überbrückt werden. Denkbar wäre vielmehr an sich höchstens eine Schaden- . ersatzklage gemäss Art. 41 Abs. 2 OR wegen einer gegen die guten Sitten verstossenden absichtlichen Schadens- zufügnng. Eine solche ist aber vorliegend nicht einmal behauptet worden. 32. Anet de la Ire Section civile du 21 mai 1941 dans la cause Worms contre Fahrique Juvenia, Didisheim-Goldsehmidt fils &amp; Cic. L'acheteur qui omet de verifier la chose et de signaler au vendeur les defauts constates (art. 20P CO) est dechu non seulement de l'action ex contractu mais aussi de I'action ex delicto, sauf s'iI y a des defauts caches (art. 20l1l) ou une garantie speciale (art. 2101 ) ou une erreur provoquee intentionnellement par le vendeur (art. 2Ioa). Der Käufer, der die Sache nicht prüft und allfällige Mängel nicht rügt (Art. 201 Aha. 1 OR), verliert nicht nur den vertraglichen; sondern auch den Deliktsanspruch, ausgenommen beim Vor- liegen geheimer Mängel (Art. 201 Aha. 2), beim Fehlen zu- gesichertt'r Eigenschaften (Art. 210 Abs. 1) und bei absicht- licher Täuschung durch den Verkäufer (Art. 210 Abs. 3). TI compratore, ehe tralascia di esaminare la cosa e di segnalare al venditore i difetti scoperti (art. 201 CO), perde non soltanto il diritto alI'azione ex contractu, ma anche quello all'azione ex delicto, salvo se esistano difetti non riconoscibili (art. 201 cp. 2) 0 uno. garanzia speciale (art. 210 cp. 1) 0 un errore pro- vocato intenzionalmente dal venditore (art. 210 cp. 3). A. - Justin Worms, comme~ant a Sao-Paolo depuis de nombrerises annees, a ouvert en deeembre 1934 une maison de bijouterie, horlogerie et argenterie. Il a ere en relations d'affaires avec la fabrique Juvenia qui lui a notamment fait une expedition de montres le 12 juin 1935. Parmi celles-ci se trouvait une montre Po1ar qua la faeture mentionne sous le numero d'ordre 294 de la maniere suivante: « Polar n° 519.942 cal. or 18 Kt forme rectangle a corne, ouverture carree, lunette polie, cadran argente,heures relief dorees, bracelat euir Fr. 55.----'-». Obligationenrecht. N0 32. 133 En 1937, Worms a vendu cette montre au Dr Antonio Ribeiro de Andrade. Celui-ci, desirant la revendre en 1939, la soumit pour evaluation aux experts du Mont- de-Piere de l'Etat. Les experts constaterent que la bOlte exrerieure de la montre portait l'inscription « 18 carats», tandis que le fond de la boite indiquait « 14 carats; 0,585 ».- Le Dr de Andrade donna connaissance de ce fait a la police et porta plainte penale contre Worms. Une expertise judi- ciaire etablit que la montre correspond a l'estampe offi- delle de 14 citrats qui figure a l'inMrieur de la bOlte et que l'inscription « 18 Kt» a ere execuree par u.n procede de gravure. La fabrique Juvenia avait acquis la boite en decembre 1931. Celle-ci ne portait que l'inscription « 14 carats » et le poin90n officiel du controle federal des matieres or et argent. Juvenia a vendu la montre a Worms au prix d'une montre or 14 carats. Elle explique l'erreur de la facture en disant «. qu'll est vraisemblable que cette bOlte 6grenee aura a l'epoque ere adressee a l'un des gra- veurs de la fabrique en meme temps qu'une serie de boites 18 carats et que le graveur s'est trompe en gravant a l'exrerieur de Ja boite ({ 18 Kt» au lieu du titre de 14 carats qui figure a l'inrerieur a core du poin9Qn officiel ». Worms admet la possibilire qu'une erreur se soit produite et que le prix de la montre ait ere etabli d'apres la valeur reelle du titre ; II ajoute qu'll n'insinuera pas que Juvenia ait voulu frauder ... Par ordonnance du 6 octobre 1939, le Juge penal saisi de l'affaire ordonna son classement ... B. - Worms actionna Juvenia en paiement d'une indmnnire de 12000 fr. qu'll entend justifier par le verse- ment a ses avocats bresiliens d'une somme de 1l1l0 fr. ; par des frais de rectification dans les journaux, 1060 fr. ; par la reproduction de documents du dossier et des tra- ductions, 140 fr. ; et par d'autres frais accessoires, 848 fr. La defenderesse a conelu au rejet de la demande. 134 Obligationenrecht. N° 32. Par jugement :du 6 janvier 1941, le Tribunal cantonal du Canton de Neuchatel a deboutC le demandeur de ses conclusions et a .mis les frais a sa charge ... O. - Le demandeur a recouru en reforme au Tribunal federal en reprenant ses conclusions de premiere instance. L'intimee a conclu au rejet du recours. Oonsiderant en droit : 1. - Des faits exposes plus haut, constatCs par les premiers juges de maniere a lier le Tribunal fooeral, il ressort que le dommage dont le demandeur reclame reparation a la defenderesse est pour la plus grande part non la consequence de l'indication d'un titreinexact sur la hoite de la montre vendue a de Andrade, mais la conse- quence des agissements malveillants de cet acheteur. La fausse inscription n'a etC pour celui-ci,observe le Tribunal cantonal, qu'un pretexte: par esprit de vengeance, il a depose contre son vendeur une plainte penale mal. fondee et a mene une campagne de presse et de chantage, en portant contre lui des accusations controuvees, absolu- ment etrangeres a la maison Juvenia et que le demandeur a du combattre. L'intervention de l'avocat da la defen- deresse aupres du consul suisse et celle de ce dernier aupres du juge bresilien ont mis les ehoses «au clair» et ramene l'affaire a de plus modestes proportions. Le plaignant s'est meme abstenu-, semble~t-il, de la pour- suivre sur le terrain civil. On doit donc se rallier a l' opinion des premiers juges, selon lesquels il n'y a pas de rapport de causalitC adequate entre l'aete imput~ble a la defende- resse et les actes de vengeance du sieur de Andrade. 2. - En revanche, contrairement a ce que le Tribunal cantonal semble admettre, l'apposition d'un faux titre sur la montre etait bien de nature, dans le cours normal des choses, a causer un prejudice au demandeur. Elle eveillait chez l'acheteur le soup90n de deloyautC commer- eiale, car on sait quelle importance le pubIic attribue aux titres qui sont pour lui la garantie de la valeur des Obligationenrecht. No 32. 135 objets en metal precieux qu'il achate. Le faux titre exposait le vendeur ades reclamations, voire ades poursuites pellales ou civiles, et nuisait a la renommee de sa maison. Dans une certaine mesure donc, le domwag~ cause au demandeur est, en soi, imputable a la defenderesse. Mais il ne s'ensuit pas d'emblee qu'elle puisse etre condamnee ades dommages-intCrets. Aux termes de l'art. 20P CO, l'acheteur doit verifier l'etat de la chose aussitöt qu'il le peut d'apres la marche habituelle desaffaires ; s'il decouvre des defauts dont le vendeur est garant, il doit l'en aviser sans delai. Lorsqu'il neglige de faire ce contröle et de donner cet avis,la chose est tenue pour acceptee, avec ses defauts, a moins que l'acheteur n'ait pu les decouvrir a l'aide des verifications usuelles (art. 2012) ou qu'il n'ait etC induit en erreur intentionnellement par le vendeur (art. 2103 CO). Dans le cas particulier, il ne s'agit ni d'un defaut cache, ni d'une erreur provoquee intentionnellement par la defenderesse. Il est etabli et d'ailleurs reconnu par le demandeur que Juvenia n'a pas eu l'intention de frauder, mais a commis une simple negligence en n'examinant pas la montre avant l'expedition, ce qui lui aurait fait decouvrir l'erreur du graveur. Le titre accompagne du poin90n officiel appose au fond de la boiteetait exact (14 carats) ; la facture portait par erreur la mention de 18 carats, mais le prix correspondait a celui d'une montre de 14 carats, ce qui n'a pu echapper a un commer9ant experi- mente; et l'acheteur n'avait rien specifie au sujet du titre, en sorte. qu'on n'est pas ep. presenee d'une qualitC stipulee. et promise, ni par consequent d'une garantie speciale selon l'art. 210 CO. . D'autre part, le defaut n'etait pas cache. Le juge du fait releve que le demandeur est depuis des annees dans l'horlogerie et. ne pouvait ignorer que seul le poin90n a une valeur officielle. Le demandeur connaissait aussi l'usage de placer le titre estampe officiel a l'intCrieur de 136 Obligationenrecht. N° 32. la boite. Il ne pouvait done se eontenter de la mention de 18 carats gravee a l'exterieur. La verifieation a laquelle il devait proeeder' selon l'art. 201 etait tres simple. Elle consistait a ouvrir la bOlte pour y trouver le titre avec le poinc;on officiel. Cet examen lui aurait fait constater aussitOt qu'il s'agissait d'une montre de 14 carats. Or il est constant que l'acheteur Worms n'a pas fait cette verification-la.~ il a simplement eompare l'indieation de la facture avee le titre prive exterieur ce qui n'etait pas suffisant. Le demandeur n'a donc pas d'action eontractuelle contre la defenderesse. TI s'en rend du reste parfaitement compte et deelare dans son recours qu'il a intente une «action exclusivement delictuelle ». D'une maniere generale, les auteurs et les tribunaux admettent qu'un acte dommageable peut constituer en meme temps l'inexecution d'un contrat et un acte illicite et conferer au lese contre la personne responsable du dommage tant une action contractuelle qu'une action extra-contraetuelle qu'il lui appartient d'exercer' con- eurremment ,(v. entre de nombreux aITt3ts RO 64 II p. 258 in (ine et 259, ainsi que la jurisprudenee et la doetrine citees ibid.). L'action ex delicto suppose toutefois que l'acte dom- mageable viole un principe general de l'ordre legal. Le Tribunal federal a trouve da. teIle violations dans des cas de mandat (RO 64 II 202), de contrat de travail et de contrat d'entreprise (RO 64 II 259). En l'espElee, cette violation existe aussi et reside dans l'indication du faux titre d'or sur le montre. Il y a Ia non seulement une faute contractueIle, mais encore une infraction a une regle generale de loyaute en affaires qui interdit de mettre dans le commerce des ouvrages en metal preeieux munis d'un titre inexaet. Le Tribunal eantonal releve d'ailleurs qu'une fausse inscriptionde titre contrevient a la loi federale du 23 deeembre 1880sur le coritröle et la garantie du titredes ouvrages d'or et d'argent. Obligationenrecht. N0 32. 137 La violence d'une defense generale n'est eependant pas necessairement et toujours de nature a conferer au lese dans toutes les eirconstances une action delictuelle a cöte de l'aetion contractuelle, de teIle fac;on que la premiere peut etre exercee meme si la seconde est devenue caduque. Le Tribunal federl~.l a deja fait observer (RO 37 II p. 10) qu'en admettant en principe le cumul des responsabiIites on ne dit pas que la loi ne puisse exclure ce cuniul dans certaines hypotheses. TI faut examiner pour chaque contrat si le Iegislateur a voulu regler uniquement d'apres le droit contractuel la responsabiIite derivant d'un etat de ehoses donne, et ce n'est que si une teIle intention n'est pas reconnaissable que le eumul est admissible. L'art. 201 CO o:ffre un tel exemple d'exelusion de l'action ex delicto. Le commentateur BECKER, cite par les premiers juges dans le sens de l'excIusion du cumul sembIe, a la . verite, ne pas viser l'action purement extra-eontractuelle lorsque, dans la note 27 sur l'art. 201, il enseigne que l'aceeptation exelut non seulement l'aetion rOOhibitoire ou en reduction du prix, mais aussi l'aetion generale en dommages-interets. Cet auteur parait envisager ainsi plutOt l'aetion fondee sur une faute eontractuelle qui se traduit par d'autres consequences dommageables que la defectuosite meme de la chose livree. Et les jugements cantonaux cites par BECKER (BillE 18 p. H8; ZBJV 39 p. 279) ont egalement en vue cette action contractuelle generale en reparation du dommage subi par l'acheteur. Mais il faut faire un pas de plus et admettre que l'accepta- tion de la chose defectueuse selon l'art. 2012 CO exclut meme l'action en reparation du dommage cause par un acte illicite. Ainsi que Rolf DIETZ l'expose (Anspruehs- konkurrenz bei Vertragsverletzung und Delikt, p. 145) au sujet du § 377 du Code de commerce allemand, qui est redige presque dans les memes termes qua l'art. 201 CO, la loi etablit par les mots «la chose est tenue pour acceptee» (&lt;&lt; so gilt die gekaufte Sache als genehmigt 11, agreee, approuvee) une fiction : L'omission de l'avis des 138 Obligationenrooht. N° 32. defauts est assirililee a un bien-trouve «( Genehmigung »), savoir a une reconnaissance expresse que le vendeur a execute ses obligations contractuelles, ou, du moins, que l'acheteur consent a etre traite comme si la chose avait ete livree teIle qu'elle etait due. Si, par la suite, cette defectuosite entraine d'autres consequences dommageables, l'acheteur ne saurait plus en rendre responsable le vendeur. Il ne peut revenir en arriere et exercer une action delictuelle, pas plus que ne peut deduire une teIle action d'une viola- tion de la. propriete celui qui y a acquiesce apres coup. L'acceptation de la marchandise avec ses defauts consta- tables, sa « Genehmigung» (approbation) est incompa- tible avec une action visant a la reparation d'un dommage qui a precisement pour origine ces memes defauts, repu- Ws inexistants dans les rapports entre le vendeur et l'acheteur. L'arret RO 64 II 259 reserve expressement le cas ou des motifs particuliers excluraient le cumul des actions. Il les nie pour le contrat d'entreprise. Cette question n'a pas besoin d'etre reexaminee en l'espece, car l'art. 2012 CO montre, comme on vient de t'exposer, qu'll y a en tout cas lieu d'admettre de tels motifs pour la vente mobiliere. Cette solution est d'ailleurs dans l'interet de la securite et de la rapidite des trans- actions commerciales que le Iegislateur a voulu assureren edictant les dispositions de l'..art. 201 qui enjoignent a l'acheteur d'agir avec diligence et ceIerite. Le Tribunal cantonal a donc eu raisonde rejeter l'action de l'acheteur Worms. Par ces motits, le Tribunal tederal: rejette le recours et confirme le jugement attaque.. Obligationenrecht. No 33. 139 33. Urteil der I. Zivilabteilung vom 10. Juni 1941 i. S. Dr. Theniseh gegen Wwe. M. Rüeseh. Mietvertrag, Untermiete, Abtretung der Miete; Art. 264 OR. Das vertragliche Verbot der Untermiete und der Abtretung der Miete ist zulässig. Das Verbot der Untermiete erstreckt sich im Zweifel auch auf die Abtretung der Miete. Das Verbot der Untermiete gibt dem Vermieter das Recht, ohne Angabe von Grlinden die Annahme eines Untermieters abzu- lehnen. Location. sOUB-location. ce88ion du baU; art. 264 CO. Il est licite d'exclure, par contrat, la sous-Ioeation et la cession du bail. Dans le doute, l'interdietion de la sous-Ioeation s'etend aussi a la cession du bail. L'interdietion de Ia sous-Ioeation donne au bailleur Ie droit de refuser un sous-Ioeataire sans donner de motifs. Locazione, sublocazione, ce8sione deZ contratto, art. 264 CO. E Iecito eseludere eontrattualmente la subIocazione e Ia cessione deI eontratto. Nel dubbio, il divieto di sublocare si estende anche aHa cessione deI contratto. Il d v;eto di sublocare eonferisce al Ioeatore il diritto di rifiutare un sublocatario senza indicare i moti~i. Aus dem Tatbestand : Der Kläger Dr. Thenisch mietete ab 1. Januar 1939 auf zwei Jahre im Hause der Beklagten Wwe. Rüesch eine Wohnung. Der Vertrag enthielt das Verbot der Untermiete. Im April 1939 trat der Kläger mit Wirkung ab 1. Mai 1939 das Gebrauchsrecht an den gemieteten Räumen an einen Dr. Wyss ab. Die Beklagte liess jedoch unter Berufung auf das Verbot der Untermiete Dr. Wyss nicht einziehen und beharrte auf Erfüllung des ~Iiet­ vertrages durch den Kläger. Dieser erhob gegen die Beklagte Klage auf Feststellung, dass sein Mietvertrag ab 1. Mai 1939 aufgehoben sei und er von diesem Zeitpunkt an keine Leistungen mehr zu erbringen habe. Die Klage wurde vom Amtsgericht Dorneck-Thierstein und vom Obergericht des Kantons Solothurn abgewiesen. Das Bundesgericht weist die Berufung des Klägers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