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107</w:t>
      </w:r>
    </w:p>
    <w:p>
      <w:r>
        <w:t>Bundesgericht (BGE), 1940-01-01, DE</w:t>
      </w:r>
    </w:p>
    <w:p>
      <w:r>
        <w:rPr>
          <w:b/>
        </w:rPr>
        <w:t xml:space="preserve">Quelle: </w:t>
      </w:r>
      <w:r>
        <w:t>https://mcp.opencaselaw.ch/entscheid/bge_66_I_107</w:t>
      </w:r>
    </w:p>
    <w:p>
      <w:r>
        <w:t>FR: ATF 66 I 107</w:t>
      </w:r>
    </w:p>
    <w:p>
      <w:r>
        <w:t>IT: DTF 66 I 107</w:t>
      </w:r>
    </w:p>
    <w:p>
      <w:pPr>
        <w:pStyle w:val="Heading2"/>
      </w:pPr>
      <w:r>
        <w:t>Volltext</w:t>
      </w:r>
    </w:p>
    <w:p>
      <w:r>
        <w:t>106 Verwaltungs. und Disziplinarreehtspflege; billte du detenteur a rencontre du lese et porte atnSl sur un fait 6chappant a rart. 2 de la loi federale sur le droit de timbre. La Direction des Finances du Canton deFribourg semble partir de ridee opposee lorsqu'elle dit que rassureur n'a fait le proces qu'en qualiM d'ayant causa du preneur d'assurance Luthy et pour son compte. Dans le cas prevu a rart. 49 LA, les parties au proces sont exclusivement Ie tiers lese et rassureur du detenteur ; aussi Ie pronon~ du Tribunal n'a-t-il force executoire, dans la forme et au fond, qu'entre ces deux parties. La. constatationd'un accident dont le detenteur du vehicule est responsable et Ia determination de l'etendue du dom'- mage a reparer ne lient Ie detenteur ni lorsque le lese l'actionne pour le montant qui depasse la somme assuree, ni lorsque rassureur lui reclame (art. 50 II LA) tout ou partie du montant qu'il a eM condamne a payer dans le proces intente en vertu de l'art. 49 (cf. STREBEL, art. 49 n° 35). Au reste, pour savoir si Ie droit cantonal d'enregistrement reclame pour un jugement. obtenu par Ie lese contre l'assureur du detenteur en vertu de l'art. 49 LA entre en conflit avec un droit de timbre federal, le caractere juridique de l'action du lese ne peut etre a lui seul decisif. Ce qui importe, c'est que la condamnation a sa base dans un contrat d'assurance conclu par le defendeur au proc6s et ne suppose aucun autra acte de la part de celui-ci par lequel il aurait assume un engagement. L'imposition dont il s'agit n'est ainsi qu'une charge frappant la conclu- sion d'un contrat d'assurance, ce qui, aux termes et d'apres le but de l'art. 2 de la loi federale, doit suffire pour la faire apparaitre comme contraire acette dispo- sition. Par ces motif8, le Trilnr,nal f6Ural admet le reoours et annule l'arret attaque ainsi que le bordereau de droits d'enregistrement incrimine. Schutz der Sicherheit der Eidgenossenschaft. N0 17. IV. VERFAHREN. PROcEDURE Vgl. Nr. 14 und 15. - Voir nOS 14 et 15. C. STRAFRECHT DROITPENAL • I. BUNDESSTRAFRECHT CODE· PENAL FEDERAL VgI. Nr. 17. - Voir nO l7. 11. SCHUTZ DER SICHERHEIT DER EIDGENOSSENSCHAFT 107 MESURES TENDANT A GARANTIR LA SURETE DE LA CONFEDERATION 17. Urteil des Kassationshofs vom 8. Mai 1940 i. S. Sehmitt gegen BaseI.Stadt, Staatsanwaltschaft. Bundesbeschluss betr. den Schutz der Sicherheit der Eidgenossen. schaft vom 21. Juni 1935 (Spitzelgesetz) .. N~t (Art. 2 BB) liegt schon bei Übermittlung einer einzigen Nachricht vor. Unter die Angaben über die politiache Tätigkeit fällt auch die Beschuldigung des. Schmuggels verbotener Zeitungen und der Spitzeltiitigkeit. Der biosse Versuch der ttbermittlung einer Nachricht erfüllt schon den Tatbestand des Nachrichtendienstes. Begriff des rechtBtoidrigen vorlKilzes (BStrR Art. ll). 108 Strafrecht. Arrew fooeral tertdant 8. garantir la. sureM de la Confooeration du 21 juin 1935. ' TI Y a service de renseignements (art. 2) alors meme que l'incu1pe n'aurait transnns qu'une seule nouvelle. Constitue un renseignement sur l'activite politique d'un tiers l'a.ccusation que l'on formule contre ce dermer d'avoir pratique ~ contreband~ de journaux interdits ou le mouchardage. La sunple tentatIve de transmettre une nouvelle est deja punis- sable comme service de renseignements. Notion du dol (CPF art. 11). Decreto federale per garantire Ia sicurezza della Confederazione (deI 21 giugno 1935). Ci si trova ~ presenza di un servizio d'injormazioni (art. 2) anche quando I'mcoIpato ha trasmesso una sola notizia. E' un'informazione sulI'attivitA poIitica di un terzo l'a.ccusa contro di Iui formulata di aver praticato iI contrabbando di giornali proibiti 0 10 spionaggio. TI sempIice tentativo di trasmettere una notizia e gia punibile come servizio d'informazioni. Nozione deI dolo (art. 11 CPF). A. - Der Beschwerdeführer Leo Schmitt wurde vom Strafgericht und vom Appellationsgericht von Basel- Stadt wegen versuchten politischen Nachrichtendienstes im Interesse des Auslandes im Sinne von Art. 2 Abs. 1 des BB betreffend den Schutz der Sicherheit der Eid- genossenschaft vom 21. Juni 1935 (Spitzelgesetz) schuldig erklärt und zu einer Gefängnisstrafe von 3 Monaten verurteilt. Dem Urteil liegt der folgende Tatbestand zu Grunde: Schmitt war Mitglied eines Skiklubs in Basel. Aus diesem wurde er ausgeschlossen, und ebenso, auf Betreiben des Vorstandes des Klubs, aus dem schweizerischen Skiverband. Um sich an den Vorstandsmitgliedern zu rächen, richtete Schmitt im Dezember 1938 ein Schreiben an die « GrenzzollsteIle Basel, Reichsbahnhof », in welchem er jene des Proviantschmuggels nach der auf deutschem Gebiet gelegenen Klubhütte, sowie der Verletzung der Devisenvorschriften beschuldigte. Ferner führte er aus : « Der Präsident, ein Elsässer namens X., lieferte letztes Jahr linksgerichtete Zeitungen in die Skihütte in M. So war z. B. die Nationalzeitung (schreib Zional Ze~tung) in M. gern gelesen. Der Sekretär, Y., sehr francophil, Schutz der Sicherheit der Eidgenossenschaft. No 17. 109 ist ein Spitzel. Hat in der letzten Zeit belastende Aussagen gemacht, gegen den « Volksbund )} (~ational-sozialistische schweizerische Arbeiterpartei) des Major Leonhardt.}) Dieses Schreiben unterzeichnete Schmitt: « Vereinigung gegen Juden und Schieber» und unterschrieb mit dem falschen Namen « Meyer». Er hoffte, dass auf Grund dieser Denunziation, die für die deutsche Zollbehörde bestimmt war, der in Basel wohnhafte französische Staatsangehörige X. und der Schweizer Y. bei ihrem nächsten Grenzübertritt verhaftet würden. Infolge der ungenauen Adressierung gelangte das Schreiben jedoch an das schweizerische Grenzzollamt beim ReichsbahnhofBasel. In den Angaben über X. und Y. erblickten die Basler Strafgerichte den Versuch eines politischen Nachrichten- dienstes zu Gunsten von Deutschland und zum Nachteil von Staatsangehörigen und Einwohnern der Schweiz. B. ~ Gegen das Urteil des Appellationsgerichtes vom 20. März 1940 erhob Schmitt die vorliegende Nichtigkeits- beschwerde. Er beantragt Aufhebung des angefochtenen Entscheides und seine Freisprechung, eventuell Rück- weisung der Sache zu neuer Entscheidung. Er bestreitet das Vorliegen eines verbotenen Nachrichtendienstes sowohl in objektiver wie in subjektiver Hinsicht. O. - Das Appellationsgericht und die Staatsanwalt- schaft von Basel-Stadt beantragen Abweisung der Be- schwerde. Der Kas8ation8hof zieht in Erwägung : L - Nach Art. 2 des Spitzelgesetzes wird mit Gefängnis bestraft: « Wer auf Schweizer Gebiet im Interesse einer fremden Regierung, Behörde, Partei oder ähnlichen ü:g.anisation zu~ Nachteil der Schweiz oder ihrer Ange- hongen oder Emwohner Nachrichtendienst über die politische Tätigkeit von Personen oder politischen Ver- bänden betreibt oder einen solchen Dienst einrichtet. )} 2. - Der Beschwerdeführer ist der Meinung, dass die Übermittlung bloss zweier Nachrichten zum vorneherein II 0 Strafrecht. zur Erfüllung des in Art. 2 des Spitzelgesetzes umschriebe- nen Tatbestandes nicht geeignet sei. Diese Auffassung ist jedoch mit de~ Vorinstanz abzulehnen. Unter Art. 2 fällt vielmehr, wie schon in der Botschaft zum Spitzel- gesetz bemerkt wird, jede einzelne Handlung, die sich als Auskundschaftung, Einziehung oder Weitergabe einer Nachricht erweist (BBl. 1935 I S. 745). Dies ergibt sich aus dem Zweck, den das Verbot sowohl des politischen Nachrichtendie~s gemäss Art. 2 des Gesetzes, wie auch des militärischen (Art. 3) und des wirtschaftlichen Nach- richtendienstes (Art. 4) verfolgt, nämlich aus dem Bestre- ben die Gebietshoheit der Schweiz nach jeder Richtung geg~n ausländische Übergriffe zu schützen. Dieses Schutz- bedürfnis besteht selbstverständlich gegenüber einer ein- zelnen, eine Verletzung der Gebietshoheit in sich schliessen- den oder sie befördernden Handlung in gleichem Masse wie gegenüber einer organisierten Mehrzahl von Ver- letzungshandlungen. Im gleichen Sinne hat das Bundes- strafgericht auch den bereits in Art. 5 der bundesrätli~hen Verordnung betr. Strafbestimmungen für den Kriegs- zustand vom 6. August 1914 verwendeten Begriff des Nachrichtendienstes ausgelegt (vgl. TmLo, Contre les espions, etc .... S. 21; La repression de l'espionnage S. 12, 16). 3. - Nach der Auffassung des Beschwerdeführers entfallt die Strafbarkeit seines Verhaltens sodann des- wegen, weil die Nachrichten über X. und Y. sich nicht auf deren politische Tätigkeit bezogen hätten. Das dem ersteren zur Last gelegte Verbringen von Zeitungen in ein fremdes Land sei kein politisches, sondern ein straf- rechtliches Vergehen, da die eingeführten Zeitungen in Deutschland verboten seien. Ebenso werde mit der Be- hauptung, Y. sei ein Spitzel und habe im Prozess gegen den « Volksbund » LeonbiJ.rdts belastende Aussagen gemacht, zweifellos nichts über die politische Tätigkeit des Y. ausgesagt. . Auch diese Einwände sind jedoch völlig haltlos; Das Schutz der Sicherheit der Eidgenossenschaft. No 17. 111 von der nationalsozialistischen deutschen Regierung erlas- sene Verbot schweizerischer Zeitungen dient den poli- tischen Zwecken des totalitären Staates. Die Bezichtigung, solche aus politischen Gründen verbotene Zeitungen einzuschmuggeln, bezieht sich daher auf eine politische Tätigkeit. Dass sich X. damit einer nach deutschem Recht strafbaren Handlung schuldig gemacht hätte, nimmt seiner Tätigkeit den politischen Charakter nicht. Auf diesen allein kommt es aber hier an. Im Gegenteil lässt der Umstand, dass X. für die Übertretung des nach schweizerischer Auffassung unberechtigten Zeitungsver- botes eine empfindliche Strafe zu gewärtigen gehabt hätte, das Interesse der Schweiz und ihrer Bürger und Einwohner an der Nichtbekanntgabe der Übertretung als um so grösser erscheinen. Das vom Beschwerdeführer ins Feld geführte Argument, die Bekanntgabe einer strafrechtlichen Verfehlung der in Frage stehenden Art falle sowenig unter das Spitzelgesetz, wie die Mitteilung eines Devisenvergehens, ist unbehelflich, weil die Voraus- setzung, auf der es beruht, nicht zutriffft. Wie nämlich das Bundesstrafgericht in seinem Entscheid i. S.Bodmer und Kons. (BGE 65 I 334) ausgesprochen hat, stellt auch die Ausspähung und Bekanntgabe von Verletzungen ausländischer Devisenvorschriften im Interesse des Aus- landes einen - wirtschaftlichen - Nachrichtendienst im Sinne von Art. 4 desSpitze1gesetzes dar. Dass auch die über Y. aufgestellten Behauptungen sich auf dessen politische Tätigkeit bezogen, ist so selbst- verständlich, dass es kaum einer näheren Begründung bedarf. Wird doch Y. der Spitzeltätigkeit und Abgabe ungünstiger Zeugenaussagen gegenüber einer mit dem deutschen Nationalsozialismus sympathisierenden poli- tischen Splittergruppe bezichtigt, woraus auf seine poli- tische Einstellung geschlossen werden kann. Es bestand daher die Gefahr, dass Y. wegen seiner politischen Gesinnung und Tätigkeit bei seinem nächsten Grenz- übertritt Unannehmlichkeiten erwachsen könnten, ja sogar, 112 Stra.frecht. dass er verhaftet werden könnte. Gerade gegen derartige Zwangsmassnahmen wegen ihrer auf schweizerischem Gebiet geäusserten und betätigten politischen Gesinnung sollen aber die Angehörigen und Einwohner der Schweiz durch Art. 2 des Spitzelgesetzes geschützt werden. 4. - Die Übermittlung von Nachrichten ist nur dann strafbar, wenn sie im Interesse einer fremden Regierung, Behörde etc. erfolgt. Auch dieses Erfordernis ist hier entgegen der Be.streitung des Beschwerdeführers gegeben. Es genügt nämlich nach der Rechtsprechung des Bundes- gerichts, dass die Nachricht für eine fremde Regierung, Behörde etc. bestimmt ist (BGE 61 I 413). Im vorliegenden Falle war die Nachricht nach der eigenen Zugabe des Beschwerdeführers für die deutsche Zollbehörde bestimmt. Dass der Absender der Nachricht etwa auf Grund eines Auftrages des Empfangers gehandelt habe, ist nicht erforderlich. 5. - Auch der rechtswidrige Vorsatz, der nach Art. 6 des Spitzelgesetzes und Art. 11 BStrR erforderlich ist, liegt hier vor. Der Beschwerdeführer wollte nach seinem Eingeständnis die Nachricht der deutschen Zollbehörde übermitteln in der Absicht, X. und Y. einen Nachteil zuzufügen. Dabei ist aus dem Inhalt seines Schreibens klar ersichtlich, dass er nicht nur zollrechtliche Vergehen der beiden Personen zur Anzeige bringen, sondern sie wegen ihrer politischen Tätigkeit anschwärzen wollte. Angesichts der allgemeinen bekannten straffen Organisa- tion des deutschen Behördenapparates musste sich der Beschwerdeführer darüber im klaren sein, dass die Meldung von der Zollstelle an die politische Polizei weitergeleitet worden wäre und dass die den Verzeigten drohenden Nachteile sich daher nicht in einer strengen Überwachung in zollrechtIicher Hinsicht erschöpfen würde, sondern dass sie vielmehr der Gefahr einer Verhaftung wegen Vergehens gegen das Regime ausgesetzt wurden. Damit ist bereits gesagt, dass beim Beschwerdeführer auch das Bewusstsein der Rechtswidrigkeit vorhanden Schutz der Sicherheit der Eidgenossenschaft. No 17. 113 war, das nach Art. II BStrR notwendiges Erfordernis des Vorsatzes ist. Hiezu braucht nämlich nicht direkte Kenntnis der betreffenden Straf- oder Verbotsnorm vorzuliegen, sondern es genügt das Empfinden des Täters, etwas rechtlich Unerlaubtes zu tun (BGE 60 I 418). Diese gefühlsmässige Gewissheit ist bei an sich schädigenden Handlungen schon mit dem Bewusstsein des Fehlens eines die Schädigung rechtfertigenden Grundes gegeben. Der Beschwerdeführer konnte aber nicht im Zweifel sein darüber, dass es unstatthaft war, wenn er zur Befriedigung seiner persönlichen Rachegelüste seine Gegner um ihrer politischen Einstellung und Tätigkeit willen der Ver- folgung durch die deutschen Behörden aussetzte. 6. - Die Vorlnstanz hat den Beschwerdeführer nur des Versuchs des politischen Nachrichtendienstes schuldig erklärt, weil die von ihm abgeschickte Nachricht infolge ungenügender Adressierung den Empfanger nicht erreichte. Diese Qualifikation ist irrtümlich. Nach der Rechtspre- chung des Bundesstrafgerichts (BGE 61 I 414, 65 I 332) kommt beim Delikt des Nachrichtendienstes die Unter- scheidung zwischen Vollendung und Versuch und zwischen den verschiedenen Teilnahmeformen nicht zur Anwendung. Vielmehr wird der strafbare Tatbestand erfüllt durch jedes Verhalten, das sich irgendwie in die Kette der Handlungen einreiht, welche die Einrichtung oder den Betrieb des Nachrichtendienstes ausmachen. Indessen wird der Beschwerdeführer durch die unzutreffende Rechtsanwendung der Vorinstanz nicht beschwert, sondern gegenteils, infolge des in Art. 15 BStrR aufgestellten Grundsatzes der geringeren Strafbarkeit des Versuches begünstigt. 7. - Der Beschwerdeführer beanstandet schIiesslich die Höhe der ausgefallten Strafe. Allein die Strafzumessung ist, soweit die Vorinstanz sich innerhalb des gesetzlichen Strafrahmens gehalten lIDd nicht gesetzliche Strafmilde- rungsgrunde unberücksichtigt gelassen hat, vom Kassa- tionshof nicht zu überprüfen. Dass eine der genannten AS 66 1-1940 8 114 Strafrecht. Voraussetzungen erfüllt sei, behauptet der Beschwerde- führer selber picht. Demnach erkennt der Kassationshof: Die Nichtigkeitsbeschwerde wird abgewiesen. III. MOTORFAHRZEUG- UND FAHRRADVERKEHR CIRCULATION DES VEHlCULES AUTOMOBILES ET DES CYCLES 18. Urteil des Kassationshofs vom 5. Febmar 1949 i. S. Welti gegen Vallon und Staatsanwaltsehaft Zürich. 1. Ob eine StrassensteIle aUS8M'- oder innerorts liege, wird durch , ihre Lage in Bezug auf die Ortsbezeichnungstafeln verbindlich bestimmt (Art. 43 f. MFV, Art. 2 BRB über Hauptstrassen mit Vortrittsrecht ). 2. Ob eine festgestellte Geschwindigkeit übersetzt sei oder nicht, ist Rechtsfrage (Art. 25 MFG, 42 ff. MFV). 3. P1lichten des Vortrittsberechtigten: Sobald dieser sieht, dass der Unberechtigte sein Vortrittsrecht missachtet und ein Unfall droht, muss er selber ungeachtet seines Rechts alles in seiner Macht liegende tun, um den Unfall zu verhüten (Art. 27 MFG). 1. Ce sont les signaux dits «de localiM» qui font regle pour determiner si tel point de 180 route est eompris dans les limites d'une localiM donnee(art. 43 s. RA, art. 2 ACF sur les routes principales avec prioriM de passage). 2. La question de savoir si une vitesse eonstatee est exeessive est une question de droit (art. 25 LA, 42 88. RLA). 3. Devoirs de eelui qui 80 la 'prWrite de pas8age: Des que le titulaire de la priorite s'aper90it que celle-ci est violee par un autre usager de 180 route et qu'un accident menace, il doit, sans egard pour son droit, faire tout ce qui est en son pouvoir pour prevenir l'accident (art. 27 LA). 1. Per stabilire se un punto d'una strada e situato fuori 0 entro i Iimiti di una data IoealitA, fanno norma i segnaIi detti di « localita. » (art.' 43 e seg. Ord CA V, art. 2 DCF deI 26 marzo 1934). 2. E' questione di diritto quella di sapere se una velocitA costatata sia oocessiva (art. 25 LCAV, 42 e seg. Ord. CAV). 3. ObbIighi di colui cui spetta 180 prooedenza : tosto eh'egli si avvede ch'essa e violata da un altro utente della strada e ehe vi e pericolo d 'infortunio, deve fare, senza riguardo 801 suo diritto di precedenza, tutto quanto e in suo potere per prevenire l'infortunio (art. 27 LCA V). Motorfahrzeug- und Fahrradverkehr. N° 18. 115 A. - Am 23. September 1938 um 10 Uhr stiess der von G. Vallon geführte Lastwagen mit Anhänger, von der Gasometerstrasse in Schlieren her die Industriestrasse überquerend, um auf das Areal des Gaswerkes der Stadt Zürich zu gelangen, mit dem von W. Welti geführten, auf der Industriestrasse von Zürich herkommenden Lieferungswagen zusammen, wobei Welti leicht und der neben ihm sitzende Niederer sehr schwer verletzt wurde; daneben entstand erheblicher Sachschaden, besonders am Lieferungswagen Weltis. Das Bezirksgericht Zürich sprach Vallon frei und ver- Urteilte Welti wegen fahrlässiger Körperverletzung zu 6 Wochen Gefängnis unbedingt. Die Berufungen des Niederer und des Welti als Geschädigter auf Bestrafung des Vallon beschied das Obergericht des Kantons Zürich mit Abweisung bezw. mit Nichteintreten ; diejenige des Welti als Angeklagten auf Freisprechung wurde abgewie- sen, ebenso dessen gegen das obergerichtliche Urteil ge- richtete kantonale Kassationsbeschwerde mit Urteil' des zürcherischen Kassationsgerichtes vom 8. November 1939, in welchem dieses die Frage der Anwendung des eidge- nössischen Rechts (MFG) als Vorfrage des kantonalen Delikts geprüft hat. Das Kassationsgericht führt aus, die Annahme des Obergerichts sei weder akten- noch gesetz- widrig, « dass Welti verpflichtet gewesen wäre, durch lang- sameres Fahren den Zusammenstoss mit dem Wagen Vallons zu vermeiden und dass er dazu bei gehöriger Auf- merksamkeit auch in der Lage gewesen wäre», und das trotz seinem Vortrittsrecht. B. - Mit der vorliegenden Nichtigkeitsbeschwerde beantragt Welti Aufhebung des angefochtenen Entscheids und Rückweisung der Sache an die Vorinstanz zwecks Freisprechung, eventuell Ausfällung eines neuen Urteils. Zur Begründung wird ausgeführt, das Obergericht habe entgegen der Behauptung des Kassationsgerichts aus- drücklich bemerkt (8. 12), dass Welti sich keine Geschwin- digkeitsüberschreitung habe zuschulden kommen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