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214</w:t>
      </w:r>
    </w:p>
    <w:p>
      <w:r>
        <w:t>Bundesgericht (BGE), 1939-01-01, DE</w:t>
      </w:r>
    </w:p>
    <w:p>
      <w:r>
        <w:rPr>
          <w:b/>
        </w:rPr>
        <w:t xml:space="preserve">Quelle: </w:t>
      </w:r>
      <w:r>
        <w:t>https://mcp.opencaselaw.ch/entscheid/bge_65_II_214</w:t>
      </w:r>
    </w:p>
    <w:p>
      <w:r>
        <w:t>FR: ATF 65 II 214</w:t>
      </w:r>
    </w:p>
    <w:p>
      <w:r>
        <w:t>IT: DTF 65 II 214</w:t>
      </w:r>
    </w:p>
    <w:p>
      <w:pPr>
        <w:pStyle w:val="Heading2"/>
      </w:pPr>
      <w:r>
        <w:t>Volltext</w:t>
      </w:r>
    </w:p>
    <w:p>
      <w:r>
        <w:t>214 Erbrecht. 1\0. 45. kaum einzusehen, wieso den beklagten Mitgliedern der Vormundschaftsbehörde von Zürich eine Erschwerung ihrer rechtlichen Stellung erwachsen sollte aus der später in Luzem bestellten Vormundschaft. 4. - Für den Beginn der ordentlichen Verjährung fällt ausser Betracht, ob allenfalls erst der Abschluss der an einem spätem Wohnort geführten Vormund- schaft dem nun handlungsfähig gewordenen Schutz- befohlenen die zur Klageerhebung erforderliche Keilntnis des Verantwortlichkeitsgrundes und des Schadens ver..; schafft habe. Das ist· vielmehr v.on Belang für die Frage, ob die ausserordentliche Verjährung gemäss Art. 455 anzunehmen sei. Hier trifft dies nicht zu.' Die Klägerin kannte die Grundlagen eines allfälligen Anspru- ches gegen die Beklagten, wie ... erhellt, schon. vor EITei leril entsprechende Bruchteil des Gewinnes. Faur quel· prix les immeubles ruraux ou le.'t part.'t r],'immeuble.y ruraux doivent-ils. ~tre porte8 en campte tors du· parta(Je succe~­ sorat? L'heritier institue peut, au meme titre que l'heritier legal, exiger qua l'immeuble lui soit compM pour Ia valeur de rendement (art. 617 al. 2 CC) lorsque le de cujus lui a, par une disposition a eause de mort, attribue cet immeuble ou la part pour laquelle il en etait proprietaire. - TI faut toutefois qu'il apparaisse probable que l'expioitation agricole sera continuee. - Le de cujus peutprescrire que l'immeuble sera compte pour une valeur plus elevee. Lorsque la valeur de rendement fait regle pour le partage, elle fait regle aussi pour le ealcul de la quotiM disponible (art. 474 CC). Pour fixer la valeur de rendement, e'cst l'estimation offieielle qui est decisive et non pas la somme moins elevee que le de cujus a eventuellement indiquoo (art. 618 CO). Lorsqu'il s'agit d'une part de proprieM et que l'immeuble entier vient a etre mis en vente, le partage compIementaire prevu a l'art. 619 CC porte sur une part du gain proportionnelle a la part de proprieM du de cujus. Valore dei tondi ru8tici in eMO di divisione succes8oria. Come l'erede legale, cosll'erede istituito puo esigere ehe i1 fondo rustico sia stimato secondo il suo reddito (art. 617 cp. 2 CC), allorche i1 de cuius gli ha attribuito, mediante una disposizione a causa di morte, il fondo rustico 0 la parte di cui era pro- prietario. Deve tuttavia apparire probabile ehe l'azienda agrieola sia eon- tinuata. . TI de cuius pue. disporre ehe il fondo sara computato ad un valore piu elevato. AUorche il valore di reddito €I determinante per la divisione sucecs- soria, esso €I pure determinante pel computo deUa porzione disponibile (art. 474 CC). Per fissare il valore di reddito, fa regola la stima offieiale e non 180 somma meno elevata ehe il de cuius ha eventuaimente indieata (art. 618 CC). Se si tratta di una quota di proprieta e il fondo intero €I messo in vendita, 180 partecipazione di cui all'art. 619 CC porta sn tUla parte dell'utile proporzionale aUa quota di proprieta del de cuius. Aus dem Tatbestand : Die Brüder Josef und Jakob Ineichen in Ballwil waren gemeinsame Eigentümer des Heimwesens Meiengrüne. Mit letztwilliger Verfügung setzte Josef den Bruder Jakob und die Mutter zu Erben neben seiner Ehefrau und seinem Kind ein, die er beide auf den Pflichtteil beschränkte.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