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64 I 201</w:t>
      </w:r>
    </w:p>
    <w:p>
      <w:r>
        <w:t>Bundesgericht (BGE), 1938-01-01, FR</w:t>
      </w:r>
    </w:p>
    <w:p>
      <w:r>
        <w:rPr>
          <w:b/>
        </w:rPr>
        <w:t xml:space="preserve">Quelle: </w:t>
      </w:r>
      <w:r>
        <w:t>https://mcp.opencaselaw.ch/entscheid/bge_64_I_201</w:t>
      </w:r>
    </w:p>
    <w:p>
      <w:r>
        <w:t>FR: ATF 64 I 201</w:t>
      </w:r>
    </w:p>
    <w:p>
      <w:r>
        <w:t>IT: DTF 64 I 201</w:t>
      </w:r>
    </w:p>
    <w:p>
      <w:pPr>
        <w:pStyle w:val="Heading2"/>
      </w:pPr>
      <w:r>
        <w:t>Volltext</w:t>
      </w:r>
    </w:p>
    <w:p>
      <w:r>
        <w:t>200 StaatSr unal cantonal, c'est uniquement parce qu'elle part de l'idee que, dans son arret Alba c. Tognetti (RO 35 I. p. 459), le Tribunal federal a abandonne le principe pose dans l'arret Espanet pour admettre que la competence depend de la loi du pays du jugement. Mais cette opinion est erronee. Dans le cas Alba contre Tognetti, la competence du tribunal franliais ne heurtait aucune des regles de droit suisse, et les principes poses par l'arret Espanet ne trouvaient donc pas leur application. Comme il fallait fonder la competence sur une norme positive, le Tribunal federal s'en est rapporte a la loi franliaise, la France etant le pays du jugement. Les deux decisions ne se contredisent donc pas, mais se completent en ce sens que lorsqu'aucun des fors institues par le Traite n'est en jeu, les tribunaux suisses ont a rechercher tout d'abord s'i! existe une disposition de droit suisse attribuant aux tribunaux suisses la competence exclusive pour statuer sur le litige, et si ce premier examen aboutit a un resultat negatif, Hs doivent verifier la competence du tribunal de jugement d'apres la loi du pays du jugement (cf. LEREscHE, execution des jugements civils etrangers en Suisse, p. 30). Le principe suivant lequella competence du tribunal dont emane le jugement doit s'apprecier au regard du droit en vigueur au lieu OU son execution est demandee a ete d'ailleurs confirme tout recemment encore par la He Section civiIe du Tribunal federal (arret Dupre contre Dupre du 8 amI 1938) et il tend d'ailleurs a pre- valoir de plus en plus soit en doctrine, soit dans la juris- prudence (cf. pour le droit suisse : SCHURTER et FRrrzSCHE, Das Zivilprozessrecht des Bundes, 1924, p. 609 et 610 note 821 ; LEUCH, Die Zivilprozessordnung für den Kanton Bern, 26 edit., p. 353; pour le droit franliais: PILLET, Trait6 pratique de droit international prive, Tome H N° 694 p. 652; PILLET et NIBOYET N° 609; ARMINJON, Precis de droit international prive, 2e edit., p. 321; Repertoire de droit international prive sous « Decisions judiciaires etrangeres » N° 101 et suiv. ; Cass. civ. 2 mai 1928 (CLUNET 1929 p. 76). Eigentumsgarantie. N0 38. 205 Contrairement a ce que soutient la recourante, on ne saurait donc voir une violation de l'art. 11 ch. 1 du Trait6 dans le fait que le Tribunal cantonal a tranche d'apres le droit suisse la question de domicile, dont depend celle de la competence. IX. EIGENTUMSGARANTIE GARANTIE DE LA PROPRIETE 38. Auszug a.us dem Urteil vom 30. September 1938 i. S. Schneider gegen Regierungsra.t des Xantons 'l'hurgau. Verhältnis der öffentlichrechtlichen Beschränkungen des Grund- eigentums zur Eigentumsgarantie. Für die Durchführung eines Umlegeverfahrens sind gesetzliche Grundlage und öffentliches Interesse, nicht dagegen die Voraussetzungen der Expropriation erforderlich. A. - § II der Kantonsverfassung des Kantons Thur- gau statuiert die Unverletzlichkeit des Eigentums. « Ausnahmsweise ist Jeder nach den Vorschriften des Gesetzes verpflichtet, sofern die öffentliche Wohlfahrt es erfordert, Grundeigentum oder andere Privatrechte an den Staat oder an eine Gemeinde oder an Privatunter- nehmungen, an letztere jedoch nur zufolge Beschlusses des Grossen Rates, gegen volle Entschädigung abzu.- treten. » Das Einführungsgesetz zum Zivilgesetzbuch (EG) schreibt in § 92 vor : « Bis zum Erlass eines kantonalen Baugesesetzes sind die Orts- und Munizipalgemeinden berechtigt, durch Gemeindebaureglemente für die ganze Gemeinde oder für einzelne GemeindeteHe Vorschriften über das Bau- wesen, sei es nur mit Bezug auf neu zu erstellende, oder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