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146</w:t>
      </w:r>
    </w:p>
    <w:p>
      <w:r>
        <w:t>Bundesgericht (BGE), 1937-05-25, IT</w:t>
      </w:r>
    </w:p>
    <w:p>
      <w:r>
        <w:rPr>
          <w:b/>
        </w:rPr>
        <w:t xml:space="preserve">Quelle: </w:t>
      </w:r>
      <w:r>
        <w:t>https://mcp.opencaselaw.ch/entscheid/bge_63_III_146</w:t>
      </w:r>
    </w:p>
    <w:p>
      <w:r>
        <w:t>FR: ATF 63 III 146</w:t>
      </w:r>
    </w:p>
    <w:p>
      <w:r>
        <w:t>IT: DTF 63 III 146</w:t>
      </w:r>
    </w:p>
    <w:p>
      <w:pPr>
        <w:pStyle w:val="Heading2"/>
      </w:pPr>
      <w:r>
        <w:t>Volltext</w:t>
      </w:r>
    </w:p>
    <w:p>
      <w:r>
        <w:t>146 S~huldbet,reibtmgs. und Konkursreeht. N0 42. bezüglich aller Betreibungen der Gruppen das Datum der Zustellung des Zahlungsbefehls ersichtlich. Das Begehren. um « Nachpfändung )) vom 25. Mai 1937 ist aber mehr als ein Jahr nach der primären Pfandung (6. Januar bezw. 28. April 1936) gestellt worden, also erst recht mehr als ein Jahr nach Zustellung der Zahlungsbefehle. Die auf ein verspätetes Begehren hin vorgenommene Pfandung ist nichtig. Demnach erkennt die Schuldbetr.- u. Konkurskammer : Der Rekurs wird gutgeheissen, der angefochtene Ent- scheid aufgehoben und die Pfändung des Eigentümer- schuldbriefs im 2. Range nichtig erklärt. 42. Sentenza 97 dicembre 1937 nella causa Bernardoni. Solo il giudice puo dichiarare il rigetto provvisorio dell'opposizione : si tratta di un atto giudiziario non sostituibile da una dichiara- zione delle parti. Nel fattispecie, quantunque manchi il rigetto provvisorio dell'op- posizione, motivi d'ordine pratico inducono a prendere in considerazione come tale l'azione di disconoscimento di debito gia promossa. Provisorische Rechtsöffnung wird nicht schon dadurch bewirkt, dass die Parteien, insbesondere der Betriebene selbst, sich damit einverstanden erklären. Sie muss vom Richter ausgesprochen werden. Hat aber der Betriebene auf Grund einer solchen Erklärung, welche der Richter einfach entgegennehmen zu sollen glaubte, bereits Aberkennungsklage angehoben, so darf aus praktischen Gründen davon abgesehen werden, den Richterspruch nach- holen zu lassen. Seul le juge peut prononcer Ia mainlevee provisoire de I'oppo- sition; celle-ci ne saurait re.mlter de la simple declaration des parties. Neanmoins si, en l'absence de pareil prononce, le debiteur a introduit action en liberation de dette, des motifs d'ordre pratique permettent de passer outre. Con precetto eseeutivo n° 90645 dell'Uffieio di Lugano, Plinio Bernardoni ehiedeva a Federico Ammon il paga- mento di 200 fchi. oltre interessi. Rehuldbl'treibung.&lt;;. und Koulm!'f&lt;reeht. Xv 42. lti L'escusso avendo fatto opposizione, il credit~re ne ehiedeva il rigetto. All'udienza davanti al Pretore di Lugano-Citta, Ammon diehiarava : {( Ritiro l'opposizione con 10 spese. Riservata l'azione d'inesistenza di debito nei dieci giorni da oggi )). Questa diehiarazione veniva apposta sull'esemplare deI preeetto eseeutivo destinato al ereditore. Entro die ei giorni Ammon promoveva azione di diseono- seimento di debito ed il Pretore di Lugano-Cittit ne avver- tiva l'ufficio, il quale pertanto si rifiutava di dar eorso alla domanda di proseguimento dell'eseeuzione, ehe Bernardoni, basandosi sul ritiro della opposizione, aveva formulata. Da tale rifiuto Bernardoni si aggravava all'Autorita cantonale di vigilanza, ehe eon deeisione 19 novembre/lO dieembre 1937 respingeva il gravame. Contro questa deeisione Bernardoni ha interposto tempestivo ricorso al Tribunale federale, ehiedendo ehe all'uffieio sia ingiunto di dar eorso alla domanda di prose- guimento dell'eseeuzione. Considerando in diritto ; Dalla dichiarazione deI debitore apposta sul preeetto eseeutivo appare chiaro eh 'egli non intendeva ritirare puramente e semplieemente la sua opposizione, ma voleva manifestare la sua desistenza soltanto di· fronte alla domanda di rigetto, riservata l'azione di diseonoseimento di debito. Anehe il Pretore di Lugano-Citta ha compreso in questo senso tale dichiarazione e, data questa desi- stenza, sarebbe stato indicato eh'egli pronunciasse il rigetto provvisorio dell'opposizione. Solo il giudiee pub infatti dichiarare il rigetto provvisorio dell'opposizione : si tratta di un atto giudiziario non sostituibile da una diehiarazione delle parti. Soltanto attenendosi a tale prineipio si ha UIia base sieura per stabilire la decorrenza deI termine di dieci giorni entro il quale si pub intentare l'azione di discono- seimento di debito (efr. RO 43 III p. 293). Nel fattispecie l'azione di disconoscimento di debito e stata promossa. Motivi di ordine pratieo inducono a 148 Schuldbetreiblmgs- und Konkursrecht. N0 43. prenderla in co~siderazione come tale. Ritenendola non avvenuta, non s~ giungerebbe al risultato voluto dal ricor~ rente, ma soltanto a dichiarare che manca il rigetto prov- visorio dell'opposizione; il creditore dovrebbe ottenerlo dal giudice, cosicche il termine per intentare l'azione di disconoscimento di debito non sarebbe ancora incomin- ciato a decorrere e il proseguimento dell'esecuzione sarebbe escluso. La Gamera Esecuzioni e FaUimenti p70nuncia : 11 ricorso e respinto. 43. Entscheid vom 30. Dezember 1937 i. S. Geser. Der bei einer Freiwilligen - Grenzsehutzkom- p ag nie im Dienst stehende Wehrmann geniesst n ich t Rechtsstillstand (Art. 57 SehKG). Le militaire, en service dans une compagnie de volontaire.s afl'ecMe a la couverture de la frontiere ne booeficie pas de la suspension des poursuites statuee a l'art. 57 LP. Il militare ehe presta servizio in una compagnia di volontari per la copertura delIa frontiera non e aI benefieio deHa sospensione degli atti esecutivi prevista daJI'art. 57 LEF. Die Vorinstanz erklärte den als Korporal bei einer Grenzschutzkompagnie im Militärdienst stehenden Schuld- ner Honauer des Rechtssti11st~des gemäss Art. 57 Abs. I SchKG teilhaftig, mit der Begründung, die längere Dauer stelle diesen Dienst noch nicht dem DietiStverhältms der Militärbeamten usw. gleich ; es komme eiilzig auf die Art desselben, nämlich darauf an, ob es sich um eigentli- chen Militärdienst oder um ein öffentlichrechtliches Dienstvertragsverhältnis handle. Laut Art. 2 des BundesOl ratsbeschlusses vom 10. November 1936 betreffend die Aufstellung einer Freiwilligen-Grenzschutz-Kompagnie sei der Dienst in dieser Einheit Militärdienst und Igälten für ihn und für die ihr angehörenden Wehrmänner die Militär- gesetze und -Verordnungen und Dienstvorschriften. Der Schuldbetreiburtgs- und Konki.Irsrecht. N° 43_ 149 'Charakter als eigentlicher Militärdienst ergebe sich auch aus Art. 5, wonach der Wehrmann mcht etwa kündigen könne und die Dienstdauer zeitlich beschränkt sei; ebenso aus Art: 8. Eine Analogie mit den Fortwachen sei mcht angängig, da letztere zu den Festungsverwaltungen gehörten, deren Anstellungs- und Besoldungsverhältnisse mcht eine eigentlich inilitärische Dienstordnung aufwiesen. Auch sei das Militärstrafrecht ohne Unterschied auf diesen Dienst anwendbar. Hiegegen rekurriert die Gläubigerin ans Bundesgericht mit dem Begehren um Anwendbarerklärung des Art. 57 Abs.2 SchKG und demgemäss Anordnung der Pfandung. Die Schuldbetreibungs- und Konkurskammer zieht in Erwägung : Für die Unterstellung eines Militärdienstes unter Abs. 1 oder Abs. 2 des Art. 57 SchKG bilden weder die Dauer noch die Freiwilligkeit noch die Geltung der Militärgesetze und Dienstvorschriften, noch die Ordnung des Unter- stützungswesens entscheidende Kriterien. Auch freiwilliger Militärdienst fiillt unter Abs; 1 (BGE 41 UI 365, 42 UI 448 ff.). Anderseits stehen auch die in Abs. 2 genannten Instruktoren, Fortwächter usw. unter den Militärgesetzen. Vielmehr will Art. 57 Abs. 2 SchKG den B e ruf s - m i I i t ä r vom Rechtsstillstand ausnehmen; die Be- ruf s m ä s s i g k e i t des Dienstes bildet das alleinige Kriterium. Nachdem nun seit Aufstellung der ersten Freiwilligen-Grenzschutz-Kompagnie im November 1936 durch BRB vom 16. November 1937 die Minimaldienst- dauer in denselben von 6 auf 12 Monate erhöht (Art. 5 Abs. I) und allen darin Dienst leistenden Wehrmännern eine Soldzulage von Fr. 2.- pro Tag gewährt worden ist (Art. 4 bis), steht dieser Militärdienst seiner Natur nach dem berufsmässigen im Sinne des Abs. 2 entschieden näher als demjemgen nach Abs. I, zumal auch die Möglich- keit der vorzeitigen Entlassung bei wichtigen Gründen (Art. 5 Abs. 2) und Gewährung besoldeten Urlaubs (Art.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