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169</w:t>
      </w:r>
    </w:p>
    <w:p>
      <w:r>
        <w:t>Bundesgericht (BGE), 1933-01-01, DE</w:t>
      </w:r>
    </w:p>
    <w:p>
      <w:r>
        <w:rPr>
          <w:b/>
        </w:rPr>
        <w:t xml:space="preserve">Quelle: </w:t>
      </w:r>
      <w:r>
        <w:t>https://mcp.opencaselaw.ch/entscheid/bge_59_I_169</w:t>
      </w:r>
    </w:p>
    <w:p>
      <w:r>
        <w:t>FR: ATF 59 I 169</w:t>
      </w:r>
    </w:p>
    <w:p>
      <w:r>
        <w:t>IT: DTF 59 I 169</w:t>
      </w:r>
    </w:p>
    <w:p>
      <w:pPr>
        <w:pStyle w:val="Heading2"/>
      </w:pPr>
      <w:r>
        <w:t>Volltext</w:t>
      </w:r>
    </w:p>
    <w:p>
      <w:r>
        <w:t>168 Verwaltungs- und Disziplina.rroohtspflege_ services personnels des organes de la sociere. De meme, il y a lieu de se demander aujourd'hui quelle est la fre- quence des differends entre assureurs et assures. Or le Departement intime explique que les procedures conten- tieuses (avec les frais qu'elles entrament) sont beaucoup plus abondantes que le nombre des am~ts rendus par les tribunaux en pareille matiere ne pourrait le faire supposer Pour le demontrer, il rappelle que les proces qui sont pour- suivis jusqu'au jugement sont loin d'etre tous connus par les publications du Bureau federal des assurances • ( l. KmOHHOFER: Die Verwaltungsrechtspflege beim Bundesgericht S. 56 f.) oder doch nur daraufhin, ob eine Ermessensüberschreitung vorliege (ebenda A. 49, 53, 60). Hieraus ergäbe eich aber nicht die Inkompetenz des Bundesgerichts, sondern nur eine Beschränkung seiner Kognition. Übrigens werden die nachfolgenden Erwägungen zeigen. dass man es in de Hauptsache nichT; mit Ermessensfragen zu tun hat. :~. - Nach Art. 1 1 b PVG fallen u.a. unter das Post- regal verschlossene Sendungen bis 5 kg. Dem Postregal entspricht auch eine Beförderungspflicht der Post (Art. 4), die sich aber auch auf Sendungen erstreckt, die dem Post- regal nicht unterliegen, z.B. Sendungen über 5 kg. Das Gesetz statuiert indessen Ausnahmen von der Beförderungs- pflicht, indem gewisse Sendungen von der Postbeför- derungspflicht direkt ausgeschlossen sind, andere wenig- stens keinen Anspruch auf Beförderung haben. Eine solche Ausnahme kommt hier in Betracht, nämlich die in Art. 25 c vorgesehene. Art. 25 c lautet: ({ Von cel Postbeförderung sind ausgeschlossen: c. Sendungen, die sich wegen ihres Umfanges oder ihrer sonstigen Beschaffenheit für aie Postbeförderung richt eignen, oder wofür die vorhandenen Beförderungsmittel der Post nicht ausreichen». Gestützt auf diese Bestimmung verneint die Postverwaltung ihre Pflicht, die Massensendungen von Heidelbeeem aus dem Puschlav zu befördern. Ist die Post nicht verpflichtet, die fraglichen Sendungen zu befördern, so kann sie deren Annahme verweigerl. Sie kann sie aber auch, was ein Minus gegenüber dem Aus- schluss ist, freiwillig befördern gegen einen Taxzuschlag. Diesfalls bestimmt § 56 2 PO : « Befördert die Post ausnahmsweise und freiwillig Sendungen, die geniäss Art. 25, Abs. 1, Buchst. c, des Gesetzes von der Beförderung ausgeschlossen sind, AB 59 I - 1933 12 172 Verwaltungs- und Disziplinarrechtspflege. weil die ordentlichen Beförderungsmittel nicht aus- reichen, so ist sie berechtigt : a. die Beförderung dieser Sendungen auf verschiedene Kurse zu verteilen, ohne dass der Absender einen Anspruch auf Entschädigung wegen Verspätung erhält, oder b. Taxzuschläge zu erheben, um die ihr aus der ausserordentlichen Beförderung erwachsenden Kosten zu decken. » Ob die Post in einem solchen Falle einen Tauuschlag erhebt und wie hoch sie event. den Taxzuscblag (im Rah- men der ihr erwachsenden Mehrkosten) festsetzt, das sind freilich typische Ermessensfragen, die sich der Nachprit- fung des Bundesgerichts entziehen. Sie sind aber hier auch gar nicht streitig. - Die Rekurrenten verneinen, dass der erwähnte Tatbestand des Art. 25 c PVG auf ihre Massensendungen von Heidelbeeren aus dem Puschlav zutreffe. Für den Fall aber, dass nach dieser Bestimmung die fraglichen Sendungen von der Beförderung sollten ausgeschlossen werden können, fechten sie die Zuschlags- taxe von 20 Rp. pro Sendung weder an sich, noch der Höhe nach an. 4. - Der Streit dreht sich soriIit in erster Linie darum. ob die Massensendungen der Rekurrenten Anspruch auf Beförderung durch die Post haben, und das hängt von der Auslegung des Art. 25 c PVG .ab. Diese Bestimmung enthält zwei Tatbestände des Aus- schlusses von der Postbeförderung : a) die Sendungen, die sich wegen ihres Umfanges oder ihrer sonstigen Be- schaffenheit für die Postbeförderung nicht eignen, wobei offenbar abgestellt wird auf die Art der ein z ein e n Sendung, und b) die Sendungen, wofür oie vorhandenen Beförderungsmittel der Post nicht ausreichen. Hier kann es im Gegensatz zur Ausnahme a nicht auf die Beschaffen- heit der einzelnen Sendung (im Verhältnis zu derjenigen der in Betracht kommenden Transportmittel) ankommen - sonst hätte die Ausnahme b neben der Ausnahme a Post. Telegra.ph und Telephon: No 30. 173 keine selbständige Bedeutung -, sondern das Gesetz hat Massensendungen eines Aufgebers im Auge, wie sie hier vorliegen. Und die entscheidende Frage ist die, was urter den «vorhandenen Beförderungsmitteln der Post» im Sinne des Art. 25 c zu verstehen ist, ob es, was die Post- verwaltung vertritt, die ordentlichen Beförderungsmittel sind, wie sie nach dem normalen Umfang des Postverkehrs notwendig sind, oder ob damit, was die Rekurrenten geltend machen, auch ausserordentliche Mittel gemeint sind, wie sie die Post sich bei ausserordentlichen Verhält- nissen vorübergehend verschaffen kann. Nach der erstem Auffassung ist hier « vorhandenes Beförderungsmittel der Post» der Bahnpostwagen, der regelmässig auf der Bernina- bahn verkehrt und der in der Lage ist, den ganzen Post- verkehr des Puschlav zu bewältigen mit Ausnahme eben der Massensendungen von Heidelbeeren ; nach der letztem würden auch die Bahnwagen darunter fallen, welche die Post für diese Massensendungen von der Bahn requirieren kann und bisher auch requiriert hat. Diese Frage der Auslegung des Art. 25 c PVG ist Dicht Ermessens-, sondern Rechtsfrage, da es sich darum handelt, die Bedeutung eines gesetzlichen Begriffs festzustellen (KmOHHOFER, a.a.O., S. 48 ff.). Sie ist im Sinne der Postverwaltung zu lösen, wie übrigens auch de1 Bundesrat im Entscheid vom 17. Juni 1921 die analoge Bestimmung des PG vom 5. April 1910 bereits so ausgelegt hat und die PO in Art. 56 2 den Art. 23 c so versteht. Schon nach dem Wortlaut des Gesetzes erscheinen als die II vorhandenen Beförderungsmittel der Post » die Beförderungsmittel, die ihr Eigentum sind oder über die sie doch ständig verfügt, nicht aber Beförderungs- mittel, die bei andern Stellen vorhanden sind und auf welche die Post lediglich im Notfall, ausnahmsweise, greifen kann. Wollte man auch diese letztem Beförde:::ungsmittel als solche der Post nach Art. 25 c ansehen, so hätte diese beschränkende Bestimmung kaum eine praktische Be- deutung mehr, da ja die Post wohl überall in der Lage ist, 174 Verwaltungs. und Disziplinarrechtspflege. sich in ausserordentlichen Fällen auch ausserordent.liche Beförderungsmittel zu verschaffen. Der Zweck der Be- stimmung ist aber offenbar der, zu verhindern, dass an die Post Anforderurgen gestellt werden, denen sie mit ihren normalen Beförde ... ungsmitteln nicht gewachsen ist. Dabei wird freilich vorausgesetzt, dass diese normalen Beför- derungsmittel ausleichend bemessen sind und nur ganz ausserordentlichen Verhältnissen nicht genügen, wie sie bel den Massensendungen von Heidelbeeren aus dem Puschlav vorheget&gt; , die von einigen wenigen Pelsonen aufgegeben werden. Bei der Interpretation jener Vor- schrift kann auch keine Rolle spielen, ob die Post ein Recht darauf habe, dass eine Bahn ihr ausserOldentliche Beförderungsmittel im Notfal1 zur Verfügung stelle, weil durch einen solchen Anspruch das ausserordentliche Beförderungsmittel der Bahn nicht ein ordentliches und normales der Post wird (die Frage kann daher hier auf sich btruhen bleiben, s. Eisenbahngesetz Art. 19, Neben- bahngesetz Art. 4). Man kann auch bei Massensendungen der vorliegenden Art, bei denen von vornherein klar ist, dass die vorhande- nen Beförderungsmittel der Post bei weitem nicht aus- reichen, auf dem Boden des Art. 25 c PVG und speziell des § 56 2 PO nicht wohl unterscheiden zwischen der verhältnismässig geringen Zahl, die noch im Postwagen befördert· werden könnte und denjenigen, für wt'lche Bahnwagen requiriert werden müssen. Die Ausführungen der Antwort sind in diesem Punkt überzeugend: die Massensendung erscheint in gewissem Sinne als eine Ein- heit; die Differenzierung wäre praktisch nicht durchzu- führen und würde dem Gedanken der Rechtsgleichheit widersprechen. Übrigens hätte es die PORtverwaltung in der Hand, den Ausfall, den sie auf einzelnen Sendungen durch die Unterlassung des Zuschlages erleiden würde, dadurch gutzumachen, dass sie auf der grossen Masse der andern den Zuschlag entsprechend erhöht. Dass die Post in andern Gegenden der Schweiz analoge Verfahren. 1'71 Massensendungen, die mit den normalen Beförderungs- mitteln nicht transportiert werden können, ohne Zuschlag zulassen würde, ist nicht ersichtlich. Nach den Angaben der Postverwaltung werden Früchtesendungen aus dem Tessin und andern Gegenden nicht in derartigen Massen spediert, dass die vorhandenen Beförderungsmitte1 der Post, das heisst eben die gewöhnlichen Beförderungsmittel nicht ausreichen. . 5. - Nach dem Gesagten kann sich die Postverwaltung für ihren Standpunkt auf Art. 25 c PVG in Verbindung mit § 65 2 ~ PO stützen. Es kann deshalb dahingestellt bleiben, ob die Zuschläge sich auch rechtfertigen Hessen nach Art. 26 PVG in Verbindung mit § 58 c und 61 PO. Demnach erkennt das Burulesgericht : Die Beschwerde wird abgewiesen. IV. VERFAHREN PROC:EDURE Vgl. NI'. 30. - Voir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