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401</w:t>
      </w:r>
    </w:p>
    <w:p>
      <w:r>
        <w:t>Bundesgericht (BGE), 1933-01-01, DE</w:t>
      </w:r>
    </w:p>
    <w:p>
      <w:r>
        <w:rPr>
          <w:b/>
        </w:rPr>
        <w:t xml:space="preserve">Quelle: </w:t>
      </w:r>
      <w:r>
        <w:t>https://mcp.opencaselaw.ch/entscheid/bge_59_II_401</w:t>
      </w:r>
    </w:p>
    <w:p>
      <w:r>
        <w:t>FR: ATF 59 II 401</w:t>
      </w:r>
    </w:p>
    <w:p>
      <w:r>
        <w:t>IT: DTF 59 II 401</w:t>
      </w:r>
    </w:p>
    <w:p>
      <w:pPr>
        <w:pStyle w:val="Heading2"/>
      </w:pPr>
      <w:r>
        <w:t>Volltext</w:t>
      </w:r>
    </w:p>
    <w:p>
      <w:r>
        <w:t>400 Obligationenrecht. N° 60. des Borgers gemeint war, muss nach der Bestimmung des Art. 74 OR und der bundesgerichtlichen Praxis für die Rückzahlungspflicht der Wohnsitz des Darleihersals Erfüllungsort angesehen werden (vgl. OSER-SCHÖNEN- BERGER, Kommentar zum OR, Allg. Einleitung, N 117). Dieser Erfüllungsort befindet sich im vorliegenden Fall im Ausland, denn die Klägerschaft hat Wohnsitz in Frankreich. Die bundesgerichtliche Rechtsprechung ist in der Literatur allerdings angefochten worden und es ist verlangt worden, dass auf das Recht am Domizil des Darleihers als der im Vertrag präponderierenden Partei für die Beurteilung überhaupt sämtlicher Verpflichtungen der Kontrahenten abzustellen sei (OSER-SCHÖNENBERGER, a.a.O. N 118, der sich auch auf BECKER, N 20 zu Art. 312 beruft). Diese Kontroverse ist aber im vorliegenden Fall ohne Bedeutung, da wie gesagt auch nach der Praxis des Bundesgerichtes hier der Wohnsitz des Darleihers als Erfüllungsort in Betracht kommt. Der Umstand, dass die Forderung abgetreten worden ist, ändert nichts daran, dass auf die Rückzahlungspflicht ausländisches Recht anwendbar ist. Erstens hat auch der Neugläubiger seinen Wohnsitz im Ausland, sodass der Erfüllungsort ohnehin nicht in's Inland verlegt worden sein konnte, und zweitens wechselt bei Änderung des Erfüllungsortes durch Zession das materiell auf die Ver- pflichtung anwendbare Recht überhaupt nicht (VON TUHR, OR 11 S. 443 N 26, OSER-ScflöNENBERGER a.a.O. N 95 der Allg. Einleitung, BECKER, N 11 zu Art. 74 OR). Wird die Rückzahlungspflicht aber durch das auslän- dische Recht beherrscht, so kann das Bundesgericht auf die vorliegende Berufung nicht eintreten. Die Frage, ob die Schuldsumme seinerzeit wirklich ausbezahlt worden sei, ist allerdings eine reine Tatfrage, und das Bundesgericht wäre nach Art. 81 OG an die Entscheidung der Vorinstanz, dass eine Auszahlung stattgefunden habe, ohnehin ge- bunden gewesen. Die Anwendbarkeit des ausländischen Rechtes führt nun aber dazu, dass auch auf die von dem Urheh hervorgeht, die zur Ehe notwendige Gesinnung... Der Beklagten konnte der Kläger belegbare Vorwürfe für ein ehewidriges Verhalten nicht machen. Die Beklagte ist heute noch willens, die eheliche Gemeinschaft fortzusetzen, sobald der Kläger sich nur etwas bessert. Sie erklärt, den Kläger heute noch zu lieben und widersetzt sich der Scheidung. In Erwägung, dass nach Auffassung des Gerichts die Ehe durch das Verschulden des Mannes tatsächlich zerrüttet ist und mit Rücksicht auf die kurze Dauer der Ehe und die ganze Einstellung der Beklagten zu derselben, Aussicht auf eine Wiedervereinigung der Ehegatten vorhanden ist », rechtfertige sich eine Trennung der Ehe für 1 Jahr. B. Gegen dieses Urteil erklärte die Beklagte die Berufung an das Bundesgericht mit dem Antrag, die Klage abzu- weisen. AB 69 II - 1933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