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58 I 62</w:t>
      </w:r>
    </w:p>
    <w:p>
      <w:r>
        <w:t>Bundesgericht (BGE), 1932-01-01, DE</w:t>
      </w:r>
    </w:p>
    <w:p>
      <w:r>
        <w:rPr>
          <w:b/>
        </w:rPr>
        <w:t xml:space="preserve">Quelle: </w:t>
      </w:r>
      <w:r>
        <w:t>https://mcp.opencaselaw.ch/entscheid/bge_58_I_62</w:t>
      </w:r>
    </w:p>
    <w:p>
      <w:r>
        <w:t>FR: ATF 58 I 62</w:t>
      </w:r>
    </w:p>
    <w:p>
      <w:r>
        <w:t>IT: DTF 58 I 62</w:t>
      </w:r>
    </w:p>
    <w:p>
      <w:pPr>
        <w:pStyle w:val="Heading2"/>
      </w:pPr>
      <w:r>
        <w:t>Volltext</w:t>
      </w:r>
    </w:p>
    <w:p>
      <w:r>
        <w:t>62 Strafrecht. Leistung. Ob hieraus für den Anspruch der Witwe und der Kinder die Unpfändbarkeit hergeleit,et werden kann, muss dahingestellt bleiben. Der entscheidende Gesichts- punkt dafür, dass die Kläger als Gläubiger des Schär keinen Zugriff auf den Betrag haben, liegt in dem eigenen Forderungsrecht der Hinterbliebenen. Die Frage der Pfändbarkeit würde sich erst stellen, wenn die Gläubiger nicht des Schär, sondern der Hinterbliebenen, darauf greifen wollten. Demnach erkennt das Bundesgericht : Die Klage wird abgewiesen. C. STRAFRECHT - DROIT PENAL -- I. BUNDESSTRAFREQHT CODE PENAL FEDERAL 9. 'Urteil des ltassationshofes vom 8. Februar 1939 i. S. Staatsanwaltschaft Baselland gegen Müller. Art. 61 BStR : I Bundesakte» : Erw. 1. - Zahlungsanweisung beim Postcheck und Mandatskarton beim Mandat als Bundesakte. Erw. 1. - - auch inbezug auf den vorgedruckten und den vom Post- benützer geschriebenen Text. Erw. 1. - Auszahlungsrechnungen, Monats- und ~anptbilanzen der Post- stellen als Bundesakte. Erw. 2. Die Vernichtung einer Zahlungsanweisungsurkunde durch einen Postbeamten fällt unter Art. 61 BStR, nicht unter Art. 57 Aba. 3 PVG. Die von einem Postbeamten begangene Fälschung, Verfälschung oder Zerstörung von postamtlichen Bundesakten erfüllt zugleich den Tatbestand des Amtspflichtsverletzung. Erw.4. Bundesstrafre flichtverletzung des Art. 53 lit. f BStR nur von Bundes- heamten begangen werden. Das Delikt der Amtspflicht- verletzung ist also nicht durch dasjenige der Bundes- aktenverfälschung konsumiert, sondern durch eine und dieselbe Handlung werden gegebenenfalls beide Delikte miteinander begangen. Das Gleiche gilt von der nach kantonalem Recht sich beurteilenden Unterschlagung zum Nachteil der eidgenössischen Postverwaltung, die, weil von einem Bundesbeamten in Ausübung seines Amtes began- gen, zugleich den Tatbestand der Amtspflichtverletzung erfüllt. Bumlesstrafreeht. N° 10. 5. - Die Sache ist daher unter Aufhebung des vor- instanzlichen Urteils an die Vorinstanz zurückzuweisen zur Sehuldigerklärung ausser nach kantonalem Recht wegen Unterschlagung (in welcher Beziehung das heute angefochtene Urteil rechtskräftig ist) noch nach eidge- nössischem Recht wegen Verfälschung und Zerstörung von Bundesakten und wegen Amtspflichtverletzung, lie- gend in der Unterschlagung und der Verfälschung· und Zerstörung von Zahlungsanweisungen. Die Strafe wird dabei gemäss Art. 33 BStR und in Berücksichtigung von Art. 32 BStR im übrigen nach freiem Ermessen neu aus- zufällen sein. Demnach erkennt der Kassationshof : Die Kassationsbeschwerde wird gutgeheissen, das Urteil des Obergerichtes des Kantons Basel-Landschaft vom 24. November 1931 aufgehoben und die Sache sur Neu- beurteilung im Sinne der Erwägungen an die Vorinstanz zurückgewiesen. 10. Orteil des ltassationshofes vom 14. März 1932 i. S. Staa.tsanwa.ltschaft '.rhnrga.u gegen ltohler. Art. 67 BStrG: ein mit abgeblendeten Lichtern (gegen, einen Bahnübergang) fahrendes Automobil hat so langsam zu fahren, dass es innerhalb der herabgesetzten Sichtstrecke halten kann. A. - Am Abend des 2. Dezember 1930, nach einge- tretener Dunkelheit, fuhr der Kassationsbeklagte mit sei- nem Personenauto gegen einen Niveauübergang der Mittel- thurgau-Bahn. Ihm entgegen fuhr, wie er glaubte, ein anderes Automobil mit unabgeblendeten Scheinwerfern. Tatsächlich stand dasselbe auf der andern Seite der Barriere still, weil diese geschlossen war. Er selbst blendete seine Scheinwerfer ab und verminderte gleichzeitig seine Ge- schwindigkeit. Weil das andere Automobil nicht abblen- dete, gab er ebenfalls wieder volles Licht und entdeckte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