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55</w:t>
      </w:r>
    </w:p>
    <w:p>
      <w:r>
        <w:t>Bundesgericht (BGE), 1932-01-01, DE</w:t>
      </w:r>
    </w:p>
    <w:p>
      <w:r>
        <w:rPr>
          <w:b/>
        </w:rPr>
        <w:t xml:space="preserve">Quelle: </w:t>
      </w:r>
      <w:r>
        <w:t>https://mcp.opencaselaw.ch/entscheid/bge_58_III_55</w:t>
      </w:r>
    </w:p>
    <w:p>
      <w:r>
        <w:t>FR: ATF 58 III 55</w:t>
      </w:r>
    </w:p>
    <w:p>
      <w:r>
        <w:t>IT: DTF 58 III 55</w:t>
      </w:r>
    </w:p>
    <w:p>
      <w:pPr>
        <w:pStyle w:val="Heading2"/>
      </w:pPr>
      <w:r>
        <w:t>Volltext</w:t>
      </w:r>
    </w:p>
    <w:p>
      <w:r>
        <w:t>Schuldbetrpibungs. nnd Konkursrecbt. Ko 12. d'admettre que le jugement la prive du droit de statuer elle-meme sur rexistence du privilege et de la possibiliM, e.n le contest.ant, d'obliger Dame Gilland a ouvrir action it Ja masse. Le jugement ne lui aurait pas 13M opposable, pas plus qu'iln'aurait eM opposable aux creanciers indivi- duellement. Mais, a !'inverse, il ne Iui etait pas opposable non plus en tant qu'il ne prevoyait qu'une collocation en V" classe. Et s'il est vraL comme il a eM dit plus haut, que retat de collocation etait incompIet, tant qu'il ne renfermait pas de disposition au sujet du privilege, il va de soi qu'il n'appartenait pas au juge d'en combier Ia Iacune. Les actions en contestation de I' etat de. collocation, intentees par un creancier a un autre ne peuvent avoir pour objet que de farre reformer une decision de l'admi- nistration de la faillite.- Elles ne sauraient avoir pour resul- tat d'eniever a celle-ci Ia faculM de prendre une decision qu'il demeure dans ses attributions de prendre. Cela etant, il est indifferent que Dame Gilland n'ait pas recouru contre le jugement. 3. - Il resliite de ce qui precede que l'administration n' a commis aucune illegaliM en admettant la production tardive de Dame Gilland eten deposant son etat de eollocation complementaire. Quant a l'argument que Cherpillod tire des consequences, facheuses pour lui, que l'admission des creances de Dame Gilland en IVe classe, ponI' Ia moitie, peut avoir sur le gain de son proces, il suffit d'observer que s'il a droit, saus doute, au gain qui peut resulter de Ia suppression des hypotheques de Dame Gilland, puisqu'il a reussi a les faire revoquer, il n'a pas droit au gain qui resulterait de Ia suppression du privilege, a. moins qu'il ne l'attaque et obtienne gain de cause. La Ghambre des PouTsuites et des Faillites pronmwe : Les deux recours sont rejeres. Schuldbetreibungs. und KOllkur.recht. X" 1:1. 13. Entscheid vom 14. April 1932 i. S. Stadlin. Ge w ö h n I ich e s tat t B e t r e i b u n gau f P fan d- ver w er t ung. Art.41 SchKG. Der Schuldner einer pfandgesicherten Forderung braucht sich eine gewöhnliche Betreibwlgunter keinen Umständen gefallen zu lassen, bevor das Pfand verwertet ist (und sieh dabei ein Ausfall ergeben hat.). Poursuite ordinaire intentie en lieu et p[ace d'une pour8uite eil. realiBation de gage. Art. 41 LP. Le debiteur d'une creance garantie par gage pent s'opposer a la poursuite ordinaire, a moins que le gage n'ait 13M realise (laissant un decouvert). Esecuzione in via ordinaria iniziata invece di un' esecuzione in via di realizzazion6 deI pegno. Art. 41 LEF. Il debitore di un credito garantito da pegno PUÖ opporsi ad uns esecuzione in via ordinaria. tranne nel easo in cui il pegno iu realizzato lasciando lill saldo scoperto. A. - Die Zuger Kantonalbank hat an W. Stadlin-\Veiss ein Kontokorrentguthaben im Betrage von 176,569 Fr. zuzüglich 5 % Zins seit 31. Dezember 1931, wofür 387 Aktien der Untermühle A.-G. Zug zu nominell 500 Fr. als Sicherheit hinterlegt sind. Der PIandvertrag bestimmt u.a. : «... Sollte die Bank später finden, dass eine \Verh·-er- minderung der Faustpfänder eingetreten sei, so ver- pflichtet sich der Schuldner, auf vorherige, durch einge- schriebenen Brief ergangene Anzeige hin die verlangte Nachdeckung oder Abzahlung zu leisten. Bei Nichtbeach- tung dieser Aufforderung, oder wenn solche nicht zuge- stellt werden konnte, ermächtigt der Faustpfandgeber die Bank, auf jede Einsprache verzichtend, die Pfänder - auch wenn ihr Guthaben noch nicht fällig ist - nach freiem Ermessen zu verkaufen und den Erlös an Zahlung zu nehmen. » Im Februar 1932 leitete die Bank für 56,000 Fr. und 5 % Zins seit 31. Dezember 1931 gewöhnliche Betreibung ein. Der Zahlungsbefehl wurde am 13. Februar zugestellt.</w:t>
      </w:r>
    </w:p>
    <w:p>
      <w:r>
        <w:t>:5chuldbetreihul1!:s- llIUt KOllkursrcl'ht. X· L\. B. Der Schuldner erhoh Beschwerde lind verlangte Aufhehung der Betreihung, weil sie auf Pfandverwert.ung hätte gehen müssen. Die Kantonalbank berief sich in ihrer Vernehmlassung auf die oben angeführte Bestim- mung des Pfandvertrages. Darnach stehe ihr zu, die Pfänder neu zu schätzen, was an Hand eines von dritter Seite gemachten Kaufangebotes geschehen sei unu ergeben habe, dass ein Betrag von über 58,000 Fr. ungedeckt sei. Zur Nachdeckung aufgefordert, habe der Schuldner keine Folge geleistet. Demgemäss sei gewöhnliche Betreibung zulässig. Die kantonale Aufsichtsbehörde schützte in ihrem Ent- scheid vom 2./3. März den Standpunkt der Gläubigerin und wies die Beschwerde ab. ~-\.m 5. März teilte die Gläubigerin dem Schuldner mit, dass sie die Faustpfänder am 12. März auf öffentliche Ver- steigerung bringen werde. O. - Gegen den Entscheid der kantonalen Aufsichts- behörde rekurrierte der Schuldner unter Wiederholung des Antrages, die Betreibung sei aufzuheben, am 10. März an das Bundesgericht. Die Schuldbet1·eibungs- und Konkut"skammer zieht in Erwägung : 1. - ..... 2. - Der Antrag auf Aufhebung der Betreibung ist gutzuheissen. Entgegen der' von der Gläubigerin und der Vorinstanz vertretenen Auffassung braucht sich der Schuldner eine gewöhnliche Betreibung solange nicht gefallen zu lassen, als das Pfand noch besteht. Erst wenn es verwertet ist und sich dabei ein Ausfall ergeben hat, steht der Weg der gewöhnlichen Betreibung offen. Unter keinen Umständen kann auch eine noch so zuverlässige Schätzung die Verwertung ersetzen. Die Gläubigerin beruft sich daher auch vergebens auf ihr vertragliches Recht, die Pfänder infolge der eingetretenen Entwertung und des Ausbleibens einer Nachdeckung zu verkaufen; Schuldhetreibungs· und Konkurs,.",·h!. X. 14. 5. solange sie von diesem Recht nicht Gebrauch gemacht hatte - und das war auf jeden Fall zur Zeit der Zustellung des Zahlungsbefehls noch nicht geschehen - blieb eben Art. 41 SchKG anwendbar. Demnach erkennt die SclwJdbetr. u. Konku.1"skarnme1" : Der Rekurs ·wird gutgeheissen und die Betreibung aufgehoben. 14. Entscheid vom 27. April 1932 i. S. Zuber. Der Schuldner kann den Gläubiger schon vor Anhebung der Betreibung rechtswirksam ermächtigen, statt der Betreibung auf Verwertung der bestellten Pfänder die ordentliche Betrei- bung einzuleiten. Art. 41 SchKG. Est licite 1a convention par laguelle Ie debiteur accorde par avance an creancier gagiste le droit de Ie poursnivre, le cas echeant, par 1a voie ordinaire, phltöt que par la voie de la poursuite en realisation de gage. Art. 41 LP. E lecita 1a convenzione colla quale il debitore accorda, preventiva- mente, al creditore pignoratizio 1a facolta di escut.erlo nella via. di pignoramento invece di agire coll'esecuzione in via di realizzazione deI pegno. Art. 41 LEF. A. - Am 29. Dezember 1930 unterzeichnete der Rekur- rent folgende « Schuldanerkennung und Bürgschaftsakt »: « Herr Julius Wyler ... anerkennt hiemit, dem Herrn Dr. X., Luzern, 30,925 Fr. mit Valuta und Fälligkeit 1. Oktober 1931 schuldig zu sein ... Als Sicherheit für obige Schuld haften als Faustpfand ... Für obstehende Schuld von 30,925 Fr. nebst allfälligen Zinsen und Kosten übernimmt Herr Otto Zuber die Bürg- und Selbstzahler- schaft und verpflichtet sich, diesen Betrag nebst allfälligen Zinsen und Kosten binnen 30 Tagen nach Verfall, d. h. bis spätestens 31.0kt.ober 1931 zu bezahlen, sofern his dahin Herr Julius Wyler nicht selbst bezahlt hat. - Herr Dr. X. ist im Fa.lI der Nichtzahlung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