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313</w:t>
      </w:r>
    </w:p>
    <w:p>
      <w:r>
        <w:t>Bundesgericht (BGE), 1931-01-01, DE</w:t>
      </w:r>
    </w:p>
    <w:p>
      <w:r>
        <w:rPr>
          <w:b/>
        </w:rPr>
        <w:t xml:space="preserve">Quelle: </w:t>
      </w:r>
      <w:r>
        <w:t>https://mcp.opencaselaw.ch/entscheid/bge_57_I_313</w:t>
      </w:r>
    </w:p>
    <w:p>
      <w:r>
        <w:t>FR: ATF 57 I 313</w:t>
      </w:r>
    </w:p>
    <w:p>
      <w:r>
        <w:t>IT: DTF 57 I 313</w:t>
      </w:r>
    </w:p>
    <w:p>
      <w:pPr>
        <w:pStyle w:val="Heading2"/>
      </w:pPr>
      <w:r>
        <w:t>Volltext</w:t>
      </w:r>
    </w:p>
    <w:p>
      <w:r>
        <w:t>312 Verwaltungs. und Disziplinarrechtspflege. die Beschwerden gegen Beschlüsse der untern Behörden entscheidet »). 11 resulte de cette prescription legale que toute decision de l'autorite de taxe mant l'impöt militaire d'un contribuable doit pouvoir etre deferee a l'autorite cantonale de recours. S'il n'en etait pas ainsi, cette derniere ne pourrait en effet etre appelee a se prononcer , contraire- ment a ce que la loi exige, que sur une partie des taxations decidees par l'autorite qui a etabli les röles. Cette interpretation, qui resulte du texte clair de l'art. 12 LTM, est confirmee par l'art. 6 lit. b du reglement d'exe- cution du 1 er juillet 1879, lequel prescrit aux cantons de pourvoir, dans les ordonnances concernant l'etablissement des röles et la perception de la taxe, « a ce que la decision en premiere instance au sujet de tous les elements de la taxe soit communiquee a chaque contribuable, sous la forme d'un bordereau de taxe qui doit ren/ermer aussi l'indication des instances de recours et des delais de recla- mation ». L'obligation d'indiquer dans Je bordereau l'auto- rite et les delais de recours ne comportant aucune excep- tion, il faut admettre que le droit de recourir, dans les delais fixes par les cantons, contre les taxations decidees en premiere instance appartient atout contribuable, qu'i! ait ou non presente auparavant la declaration personnelle, non prevue par le droit federal, que certains cantons exigent de lui. Il suit de ce principe que la prescription de l'art. 9du decret vaudois du 15 mai 1902, privant de tout droit de recours les contribuables qui n'ont pas depose une decla- ration d'impöt avant le 16 fevrier de chaque annee, est contraire a la loi federale. Certes la loi du 28 juin 1878 laisse aux cantons la faculte de subordonner a certaines regles (delais peremptoires de recours, etc.) le droit de recourir a l'autorite cantonale superieure mais, s'illeur est loisible de discipliner l'exercice de ce droit, l'art. 12 LTl\I leur interdit d'en priver completement et apriori une categorie de contribuables. 2. - L'Administration federale des contributions fait Bundesrechtliehe Abgaben. N° 40. 313 valoir que la privation du droit de recours est la seule . sanction efficace dont le Usc dispose lorsqu'un contribuable refuse de deposer une declaration d'imp6t. Cet argument de convenance Uscale ne saurait toutefois etre oppose a la prescription explicite de l'art. 12 LTM garantissant un droit de recours a tous les contribuables taxes en premiere instance. Au surplus, il n'est pas fonde, de nombreux cantons percevant regulierement la taxe mili- taire, sans disposer d'une sanction semblable, mais en se bornant a frapper les contribuables negligents d'amendes d'ordre ou d'autres sanctions administratives non prohibees par le droit federal. 3. - 1I resulte des considerations qui precedent que la Commission centrale a refuse a tort d' entrer en matiere sur le recours de Guenin. Des lors, la cause doit lui etre renvoyee pour qu'elle statue au fond. Par ces moti/s, le Tribunal jederal prononce: Le recours est admis, et la cause est renvoyee a la Commission centrale d'impöt pour qu'elle statue au fond. 49. Auszug aus dem Urteil vom 26. November 1931 i. S. Nussbaumer gegen J..uzern. Militärpflichtersatz. - Die Anwendung kantonaler Vorschriften über die Rekursführung in Militärsteuersachen ist der Über- prüfung durch das Bundesgericht unterworfen. Das Militär- und Polizeidepartement des Kantons Luzern hat einen Rekurs des Beschwerdeführers betreffend die Einkommenveranlagung abgewiesen und dabei unter anderm ausgeführt, die Behauptung der Rekursschrift, der Beschwerdeführer sei arbeitslos gewesen, könne, weil unbelegt, nicht berücksichtigt werden. Hiezu wird in Erwägung 2 des bundesgerichtlichen Urteils folgendes gesagt : 314 Verwaltungs- und Disziplinarrechtspflege. Die kantonale Rekursinstanz hat die Berücksichtigung der Arbeitslosig~eit des Beschwerdeführers abgelehnt, weil diese Tatsache von ihm nicht belegt worden sei. Sie beruft . sich dabei auf § 12 Abs. 2 der kantonalen Verordnung zum MStG, wonach den Rekurseingaben an die kantonale Rekursinstanz ({ die nötigen Belege, auf welche sich das Rekursbegehren stützt )), beizulegen sind. Der Beschwerde- führer hat in seinem Rekurs gegen die Einschätzung be- hauptet, er könne keine Ausweise beilegen. Ob die Vorinstanz dieser Erklärung gegenüber ohne weiteres einen abweisenden Entscheid treffen durfte, unterliegt der Beurteilung durch das Bundesgericht, obgleich es sich um die Anwendung einer Vorschrift der kantonalen Verordnung handelt. Allerdings kann nach Art. 10 VDG eine Beschwerde an das Bundesgericht nur auf die Behauptung gestützt werden, der angefochtene Entscheid beruhe auf einer Verletzung von Bundes~echt. Bundesl'echt ist aber nicht nur verletz.t, wenn ein in einer eidgenössischen Vorschrift ausdrücklich ausgesprochener, sondern auch wenn ein daraus sich ergebender 'Rechts- grundsatz nicht oder nicht richtig angewendet wurde. Da Art. 12 MStG dem Ersatzpflichtigen den Rekurs gegen Entscheide der Veranlagungsbehörden zusichert, ist es eine Frage des Bundesrechtes im Sinne von Art. 10 VDG, ob und inwieweit kantonale Verfahrensvorschriften das bun- desrechtlich vorgeschriebene Rekursrecht regeln können (vgl. Urteile i. S. Schmid vom 1., Oktober und Guenin vom 12. November 1931). Besonders ist sodann die Anwendung kantonaler Bestimmungen über die Rekursführung, und damit auch derjenigen über die RekursbegrÜlldung, der Überprüfung durch das Bundesgericht unterworfen. Registersachen. N0 50. II. REGISTERSACHEN REGISTRES 50. Urteil der I. Zivllabteuung vom S. Dezember 1931 i. S. Aa.rgauische ltantona.lbank gegen Justizdirektion des Ka.ntons Aargau. 315 Verwaltungsrechtliche Beschwerde gegen eine ka~tonale Verfü- gung. Formelle Legitimation der Aargauischen Kantonalbank da~u. Kantonalbankgesetz § 2 Abs. I und 2. Zulässigkeit weItergehender Beschwerdeanträge, als im Administrativ- verfahren VDG Art. 10. Eintragungspflicht einer Erhöhung des DotationskapitaIs einer Kantonalbank in das Handelsregister, OR Art. 865 Abs. 4, Gebührenordnung Art. 1 Ziff. 3. Gebührencharakter der HandeIsregistergebühren. A. - In der Volksabstimmung vom 23. Juni 1912 wurde im Kanton Aargau ein neues Bankgesetz angenommen, durch das die « Aargauische Bank)), eine Aktiengesell- schaft mit Beteiligung des Staates, in eine reine Staatsbank, die Aargauische Kantonalbank, umgewandelt wurde: Der Kanton stellte dem neuen Institut ein Dotations- kapital von 12 Millionen Fr. zur Verfügung, doch wurde der Grosse Rat ermächtigt, den Betrag bei Bedarf bis auf 25 Millionen Fr. zu erhöhen. Auf Grund des neuen Bank- gesetzes wurde die Aargauische Bank im Handelsregister gelöscht und die Aargauische Kantonalbank eingetragen. Die Änderung wurde im Schweizerischen Handelsamtsblatt veröffentlicht. Für die Eintragung bezahlte die Kantonal- bank: gestützt auf den Tarif der Handelsregisterverordnung vom 6. Mai 1890 eine Gebühr von 295 Fr. Durch Beschluss vom 6. Mai 1930 setzte der Grosse Rat des Kantons Aargau das Dotationskapital der Kantonalbank von 12 Millionen auf 18 Millionen Franken herauf. Diese Erhöhung wurde dem Handelsregisterbureau Aarau zur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