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263</w:t>
      </w:r>
    </w:p>
    <w:p>
      <w:r>
        <w:t>Bundesgericht (BGE), 1931-01-01, DE</w:t>
      </w:r>
    </w:p>
    <w:p>
      <w:r>
        <w:rPr>
          <w:b/>
        </w:rPr>
        <w:t xml:space="preserve">Quelle: </w:t>
      </w:r>
      <w:r>
        <w:t>https://mcp.opencaselaw.ch/entscheid/bge_57_II_263</w:t>
      </w:r>
    </w:p>
    <w:p>
      <w:r>
        <w:t>FR: ATF 57 II 263</w:t>
      </w:r>
    </w:p>
    <w:p>
      <w:r>
        <w:t>IT: DTF 57 II 263</w:t>
      </w:r>
    </w:p>
    <w:p>
      <w:pPr>
        <w:pStyle w:val="Heading2"/>
      </w:pPr>
      <w:r>
        <w:t>Volltext</w:t>
      </w:r>
    </w:p>
    <w:p>
      <w:r>
        <w:t>262 Sa.chenrecht. N° 4,2. 2. - Im vorliegenden Fall ist unbestritten, dass die Schädigung der Quelle von der Beklagten nicht in über- schreitung, sondern in vertragsgemässer Ausübung ihres Lehmausbeutungsrechtes herbeigeführt wurde. Nach dem Gesagten kann dieser Konflikt zwischen der Servitut der Beklagten und dem - bestrittenen - Quellenrecht der Klägerschaft nicht auf dem Boden der Art. 706/7 ZGB, sondern nur auf Grund des Dienstbarkeitsrechtes gelöst werden. Und dabei gilt, wie die Vorinstanz richtig aus- geführt hat, der Grundsatz, dass von zwei Dienstbarkeiten, welche sich nicht miteinander vertragen, die ältere den Vorrang hat. Dieser Grundsatz ist allerdings im ZGB nicht ausdrücklich ausgesprochen worden, allein er muss anerkannt werden als Ausfluss aus dem allgemein gültigen Satz, dass man von seinem Auktor nicht mehr Rechte erwerben kann, als dieser selbst (noch) hat - einem Satz, den das ZGB nur zu Gunsten des gutgläubigen Dritten eingeschränkt hat, was indessen hier ausser Betracht fällt da ein Grundbucheintrag zu Gunsten der Beklagten besteht: Die Vorinstanz stellt nun - in Anwendung kantonalen Rechtes und daher für das Bundesgericht verbindlich - fest, dass das Lehmausbeutungsrecht der Beklagten schon im Jahre 1910 begründet wurde, dass dagegen das von der Klägerschaft beanspruchte Quellenrecht jedenfalls bis zum Jahre 1912 nicht zur Entstehung gelangte. Ob die Klägerschaft seit dem Jahr 1911 durch Ersitzung ein dingliches Recht an jener Quelle erworben habe, kann, weil ohne Einfluss auf den Entscheid, dahingestellt bleiben mit Rücksicht darauf, dass der Quelleneigen- tümer am vorliegenden Verfahren nicht als Partei beteiligt ist. - Die Klägerschaft hat es daher, weil ihr Recht auf alle Fälle das jüngere ist, zu dulden, wenn in bestimmungs- gemässer Ausübung des Lehmausbeutungsrechtes ihre Quelle abgegraben wurde. Dass die Ausbeutung sich im Rahmen des Vertrages hielt, ist von der Vorinstanz ausdrücklich festgestellt worden. Eine Schadenersatz- pflicht der Beklagten käme unter diesen Umständen Obligationeurecht. )\0 43. :!63 höchstens unter dem Gesichtspunkt des Rechtsrnissbrauchs in Frage, d. h. dann, wenn die Beklagte ohne jeglichen Nachteil für ihre eigenen Interessen die Quelle hätte schonen können. (Offenbar aus dieser überlegung heraus hat die Vorinstanz noch untersucht, ob nicht eine Haftung der Beklagten nach Art. 41 f. OR bestehe ;der von der Klägerschaft gerügte innere Widerspruch zwischen dieser Erwägung und der Zuerkennung des Vorrangs des Lehm- ausbeutungsrechtes liegt daher in Wirklichkeit nicht vor.) Mit der Feststellung der Vorinstanz, dass die Schädigung der Quelle als Folge der Lehmausbeutung nicht voraus- sehbar war, ist jedoch auch diesem Anspruch der Boden entzogen. Demnach erkennt da8 Bundesgericht: Die Berufung wird abgewiesen und das angefochtene Urteil des Appellationshofes des Kantons Bern vom 15. Dezember 1930 bestätigt. IV.OBLIGATIONENRECHT DROIT DES OBLIGATIONS 43. OrteU der I. ZivUabteUung vom 1a. 1üi 1931 i. S.- Jucker-Wegmann A.-G. gegen Verkaufsstelle Schweiz. Papierfabriken « Papyrus ». Sind die für die Beurteilung der Zulässigkeit von Boy kot t e n aufgestellten Grnndsätze auch anwendbar, wenn ein Unterneh- ~en: das in. seiner Branche faktisch eine Monopolstellung einnunmt, dIe Geschäftsbeziehnngen zu einem bisherigen Kunden abbricht ! Ä. - In der Schweiz bestehen insgesamt 16 Papier- fabriken, wovon sich 12 zu einem als Genossenschaft organisierten VerkaufskarteIl zusammengeschlossen haben, 264 Obligationenrecht. N0 43. das die Firma « Verkaufsstelle Schweizerischer Papier- fabriken, Papyrus» trägt und seinen Sitz in Luzern hat. Für zwei weitere Fabriken wird der Verkauf durch die {( Eika », die Einkaufsstelle des Schutzverbandes der papierverarbeitenden Industrien in der Schweiz, besorgt, und zwei Fabriken, die Papierfabriken a. d. Sihl in Zürich, sowie die Karton- und Papierfabrik Deisswil gehören überhaupt keiner Organisation an. Die Aktiengesellschaft Jucker-Wegmann in Zürich ist ein im Jahre 1925 zum Zwecke des Handels in Papier sa~t Ausrüsterei gegründetes Unternehmen. Sie ist die Nach- folgerin einer frühern Aktiengesellschaft gleichen Namens, die im Jahre 1924 mit Konkurs geendigt hat. Am 28. Mai 1928 bestellte die Aktiengesellschaft Jucker- Wegmann bei der « Papyrus ll, mit der sie in regelmässi- gem Geschäftsverkehr stand, eine Lieferung Papier einer bestimmten Qualität. Die Bestellung wurde von der Papierfabrik Cham, die Mitglied der « Papyrus)} ist, ausgeführt. Die Aktiengesellschaft Jucker-Wegmann be- mängelte jedoch in der Folge die gelieferte Ware als ungenügend geleimt und verweigerte die Zahlung. Hieran knüpften sich, da die « Papyrus» die Beanstandung nicht anerkennen wollte und Zahlung ihrer Rechnung im Betrage von 1713 Fr. 95 Cts.. verlangte, langwierige Unterhandlungen. Da die Aktiengesellschaft Jucker- Wegmann auf ihrer Ablehnung und Zahlungsverweigerung beharrte, schrieb ihr die « Papyrus)} schliesslich am 10. September, es werde ihr, der ( Papyrus », nichts anderes übrig bleiben, als ihre Forderung auf dem Rechtswege geltend zu machen. Das wäre allerdings für die weiteren geschäftlichen Beziehungen der Parteien nicht förderlich. Zudem wünsche die « Papyrus) derartige Pendenzen rasch zu erledigen. Sie schlug daher der Aktiengesellschaft Jucker-Wegmann vor, die Ware durch einen unbefangenen Papierfachmann begutachten zu lassen, wobei die Kosten von derjenigen Partei zu tragen wären, die nach dem Ergebnis der Expertise unterliege. Da die Aktiengesell- Obligatiuuenrecht. ::\0 +:l. 26.3 schaft Jucker-Wegmann in ihrer Antwort eine solche Begutachtung unter Aufrechterhaltung ihres Standpunktes als zwecklos bezeichnete, erwiderte ihr die «Papyrus» am 27. September 1928 : « Nachdem Sie uns ern Vermitt- lungsvorschlag auf eine Expertise ebenfalls ablehnen, so bliebe uns wirklich nichts mehr anderes übrig, als die Gerichte in Anspruch zu nehmen. Es widerstrebt uns dies jedoch, so dass wir davon absehen. Dagegen fragen wir uns ernstlich, ob in Anbetracht der Erledigung, welche Ihrerseits uns aufgedrängt worden ist, neue Gele- genheiten für derartige Geschäftsabwicklungen geschaffen werden sollen. 'Vir sind uns wirklich nicht gewohnt, Pendenzen in dieser Weise abgewickelt zu sehen, und wir möchten Wiederholungen unbedingt vorbeugen. Bevor wir diesbezüglich einen definitiven Entscheid fassen, möchten wir Ihnen eine allerletzte Gelegenheit geben, die Angelegenheit nach kaufmännischem Treu und Glau- ben zu erledigen, d. h. entweder die Ware uns abzunehmen oder zum mindesten der vorgeschlagenen Expertise zu- zustimmen. Bis zum Eintreffen Ihrer Antwort erlauben wir uns, die Bestätigung des gestern eingetroffenen Auf- trages zurückzubehalten.» Die Aktiengesellschaft Jucker- Wegmann liess dieses Schreiben unbeantwortet, und es schrieb ihr daher die « Papyrus » am 18. Oktober 1928 : « Aus Ihrem Stillschweigen müssen wir schliessen, dass Sie auf Ihrem Standpunkt in jeder Hinsicht beharren und eine Erledigung der Angelegenheit nach kaufmän- nischem Gebrauch' ablehnen. Wir sehen uns deshalb veranlasst, von der Ausführung weiterer Lieferungen an Sie, bezw. von der Annahme neuer Aufträge für so lange Umgang zu nehmen, als Sie sich weigern, die Ware ent- gegenzunehmen, oder doch wenigstens die Angelegenheit einem fachmännischen Experten mit Schiedsrichter-Kom- petenz zum Entscheid zu unterbreiten. Selbstverständlich werden auch unsere Fabriken direkt überwiesene Auf- träge in Lagersorten nicht mehr entgegennehmen kön- nen.» Daraufhin antwortete die Aktiengesellschaft Jucker- 266 Obligationenrecht. ~o 4:3. Wegmann am 19. Oktober 1928, sie habe vorgängig ihrer endgültigen Stellungnahme beim staatlichen l\tfaterial- prüfungsamt in Berlin ein Gutachten eingeholt, das jedoch zur Zeit noch ausstehe. Sie sei natürlich nicht in der Lage, den angedrohten Boykott zu verhindern und werde die « Papyrus » für allen ihr hieraus entstehenden Schaden belangen. Demgegenüber wendete die « Papy- rus » in ihrem Antwortschreiben vom 20. Oktober 1928 ein, dass ein einseitig eingeholtes Gutachten eines aus- ländischen Materialprüfungsamtes für sie keinerlei Be- deutung haben und jedenfalls nicht als neutrale Expertise mit Rechtsfolgen gelten könne. Von einem Boykott, der die « Papyrus » zu Schadenersatz verpflichte, könne nicht die Rede sein. Man werde ihr, der « Papyrus», das Recht nicht absprechen wollen, über die Abgabe der Waren, deren Verfügungsrecht ihr zustehe, nach ihrem eigenen Gutdünken entscheiden zu können. Es werde der Aktien- gesellschaft J ucker-Wegmann übrigens zweifellos möglich sein, ihren Bedarf auf anderem Wege einzudecken, oder aber ihre Geschäftsmaximen derart zu wählen, dass die « Papyrus)) wieder in die Lage gesetzt sei, über die Wieder- annahme ihrer Aufträge Beschluss fassen zu können. Die Aktiengesellschaft Jucker-Wegmann übergab darauf- hin die Angelegenheit ihrem Anw.alt, welcher vorerst die Behandlung des Falle.."1 durch ein mehrköpfiges Schieds- gericht beantragte, sich aber schliesslich einverstanden erklärte, diese einem fachmännischen Experten mit ~chiedsrichterkomp r- 272 Obligationenrecht. Xo 43. kom petenz ausgestatteter Sachverständiger betraut wer· den sollte womit die Beklagte ihrerseits einverstanden war. We~ dann dieses Verfahren dennoch nicht zum Ziele führte, so trifft daran die Beklagte die Schuld, indem diese, obwohl ihr die Klägerin ständig entgegenkam, die Verhandlungen plötzlich ohne zureichenden Grund abbrach. Unter diesen Umständen kann aber der Klägerin kein Vorwurf gemacht werden, wenn sie angesichts der von der Beklagten an den Tag gelegten Hartnäckigkeit mit dieser nicht mehr weiter verkehren wilL Dem kann auch nicht, wie die Beklagte glaubt, entgegengehalten werden, das Interesse der Beklagten an der Aufrecht- erhaltung ihrer Geschäftsbeziehungen mit der Klägerin sei ungleich grösser als dasjenige der Klägerin daran, den fraglichen Streit durch einen fachmännischen Schieds~ richter statt durch ein Gericht, entscheiden zu lassen. Diese Argumentation geht deshalb fehl, weil der Streit über jene Lieferung dadurch, dass die Klägerin die Ware zurückgenommen und auf Zahlung des Kaufpreises ver- zichtet hat, überhaupt erledigt war und daher als Beweg- grund für den end g ü I t i gen Abbruch der Ge- schäftsbeziehungen durch die Kl~gerin an sich ohnehin gar nicht in Betracht kam. Massgebend hiefür war die Art und Weise, wie sich die Klägerin in jenem Streite benommen hatte. Diese bewirkte, dass das Vertrauen der Klägerin in die Loyalität- der Beklagten - in ver- ständlicher Weise - erschüttert wurde. Bei dieser Sach- lage kann aber der Abbruch der Geschäftsbeziehungen unbekümmert darum, dass die Beklagte hiedurch em- pfindlich getroffen wird, unter keinen Umständen als sittenwidrig erachtet werden ; denn, auch wenn man die Anwendbarkeit der Boykottgrundsätze auf derartige Ver- hältnisse grundsätzlich bejahen wollte, so könnte dies doch auf keinen Fall dazu führen, einer Partei die Auf- rechterhaltung von Geschäfts beziehungen selbst solchen Personen gegenüber zuzumuten, deren bisheriges Gebaren begründete Zweifel in ihre geschäftliche Loyalität auf- kommen lässt. Obligationenrecht. No 43. 273 Dasselbe Resultat ergibt sich aber auch, wenn man den vorliegenden Tatbestand nach der Auffassung wür- digt, dass ein Boykott als rechtswidrig bezeichnet werden müsse, wenn er auf die Vernichtung der wirtschaftlichen Persönlichkeit des Angegriffenen ausgeht, oder doch diese zur notwendigen Folge hat. Dass die Klägerin diesen Zweck nicht verfolgt, ist bereits dargetan worden. Aus den Feststellungen der Vorinstanz ergibt sich aber, dass die Beklagte auch tatsächlich durch das, Verhalten der Klägerin nicht in ihrer Existenz gefährdet ist. Die Be- klagte behauptet, sie habe eine Reihe, von Papiersorten bei der Klägerin bezogen, die sie anderweitig nicht er- halten könne, und zwar sowohl Lagerware, d. h. ab Lager der Fabrik gelieferte Ware, wie Fabrikationsware, d. h. von den Fabriken auf Bestellung hergestellte und gelieferte Ware. Die Vorinstanz ordnete hierüber eine Zweier- , Expertise an. Aus dem Gutachten ergibt sich mit Bezug auf die Lagerware, dass die Beklagte nicht ohne weiteres in der Lage sei, die Papiere, die sie von der Klägerin nicht mehr erhält, von einer andern Fabrik zu beziehen, weil die Kundschaft bei den einzelnen Papiersorten gewöhn- lich auf bestimmte Merkmale, die von Fabrik zu Fabrik verschieden seien, abstelle und daher in der Regel nicht einfach mit dem entsprechenden Papier einer andern Fabrik bedient werden könne. Mit Bezug auf die fragliche Fabrikationsware aber stellten die Experten fest, dass die Beklagte einen Teil zu konkurrenzfähigen Preisen anderweitig beziehen könne, einen Teil jedoch nicht. In einem Ergänzungsgutachten äusserten sich die Experten sodann dahin, dass es der Beklagten möglich wäre, in der DetaiIlierung aufgegebener Fabrikationen ein Betätigungs- feld zu finden. Die Vorinstanz hat ihrerseits festgestellt, dass die Fabrikationen den weit überwiegenden Teil des Geschäftes der Beklagten in den Jahren 1925-1928 aus- machten und dass innerhalb der Fabrikationen die strei- tigen Sorten geringer und mittlerer Qualität durchgehends nur etwa einen Viertel des Umsatzes betragen hätten. Abgesehen also davon, dass diese Sorten grösstenteils zu. AS 57 n - 1931 19 274 O,",ligationenrecht-. N° 43. konkurrenzfähigen Preisen von der Beklagten ander- weitig beschafft werden könnten, würden diese in deren Geschäftsbetrieb keine überragende oder gar ausschliess- liehe Rolle spielen. Für die Lagersorten aber ergebe sich, dass die jährlichen Umsätze von zirka 24,000 Fr. bis zirka 70,000 Fr. zwar die streitigen Sorten geringer und mittlerer Qualität beträfen, dass aber diese Zahlen nur zirka einen Drittel des gesamten Lagergeschäftes dar- stellten, indem die Beklagte die übrigen zwei Drittel ihres Lagergeschäftes in andern Sorten von jeher aus dem Auslande oder von schweizerischen Fabriken bezogen habe, die der Klägerin nicht angeschlossen seien. Die Sperre treffe somit die Beklagte nur in einem sehr be- schränkten Teil ihres Gesamtbetriebes, und es könne daher keine Rede davon sein, dass sie in ihrer Existenz ernstlich bedroht sei. Diese Feststellungen sind im wesentlichen tatsächlicher Natur und daher für das Bundesgericht verbindlich; denn eine Aktenwidrigkeit liegt, entgegen der Auffassung der Beklagten, nicht vor. Es ist keines- wegs erwiesen, dass die Vorinstanz, wie die Beklagte behauptet, die Feststellungen der Experten mit Bezug auf die Möglichkeit der Beklagten, sich anderweitig mit Fabrikationsware einzudecken, nicht richtig gewürdigt habe. Übrigens wäre dies ohne Bedeutung, da die Vor- instanz festgestellt hat, dass die hiebei in Frage stehenden Papiersorten im Geschäftsbetri,ßb der Beklagten ohnehin keine überragende Rolle spielen. Unbehelflich ist auch der Vorwurf der Beklagten, die Vorinstanz habe bei der Beurteilung des durch die klägerische Sperre der Beklagten entstandenen Schadens zu Unrecht lediglich auf das rein ziffernmässige Verhältnis abgestellt, in welchem die Sorten, die sie von der Klägerin zu beziehen pflegte, zu ihrem Gesamtumsatz stehen. Dass die von der Vorinstanz aufgeführten Zahlen an sich den Akten widersprechen, hat die Beklagte selber nicht zu behaupten vermocht; ob aber die hieraus gezogenen Schlüsse zutreffend sind, d. h. ob es angezeigt gewesen wäre, auch andere Faktoren Obligationenrecht. N° 43. 275 mit in Berücksichtigung zu ziehen, vermag das Bundes- ~ericht, ~umal einem sachkundigen Handelsgerichte gegen- uber, rocht zu überprüfen. Unerfindlich ist sodann wieso die auf dem Gutachten der Experten fussend~ Feststellung der Vorinstanz aktenwidrig" sein sollte, dass es der Beklagten möglich wäre, in der Detaillierung aufgegebener Fabrikationen ein Betätigungsfeld zu finden. D~s aber die~er Möglichkeit, wie die Beklagte behauptet, beI der BeurteIlung des vorliegenden Tatbestandes ohnehin keine ausschlaggebende Bedeutung zukommen könne weil einem Boykottierten nicht zuzumuten sei, seine~ Geschäftsbetrieb umzustellen, trifft nicht zu; denn wenn gewisse Organisationsänderungen genügen, um einen Be- trieb trotz eines über ihn verhängten Boykottes lebensfähig zu erhalten, so kann ein solcher Boykott jedenfalls nicht im Hinblick auf seine Wirkungen als unerlaubt bezeichnet werden. Wollte man endlich das Verhalten der Klägerin auf Grund der vom Bundesgericht ursprünglich vertretenen strengen Auffassung, die sich auch in der Literatur vertreten findet (vgl. SPECKER, Die Persönlichkeitsrechte Zürcher Diss. 1910 S. 280), würdigen, wonach ein Bo~kott als eine künstliche Massnahme grundsätzlich als unzulässig zu erachten sei, so könnte die Widerklage dennoch nicht geschützt werden ; denn auch nach dieser Theorie ist ein Boykott nicht unter allen Umständen schlechtweg ver- pönt; vielmehr ist er dann als erlaubt zu bezeichnen wenn dadurch ein objektiv und subjektiv richtiger Zweck mit richtigen Mitteln realisiert werden soll. Diese Voraus- setzungen treffen aber hier ohne Zweifel zu. Hiebei mag auf die vorgehenden Erwägungen, wo diese Fragen implicitebereits erörtert worden sind, verwiesen werden. Ist aber im Verhalten der Klägerin in keiner Hinsicht eine unerlaubte Handlung zu erblicken, so muss die Widerklage in vollem Umfange abgewiesen werden. 276 Obligationenrecht. N0 U. Demnach erkennt das Bundesgericht: Die Berufung wird abgewiesen und das Urteil des Handelsgerichtes des Kantons Zürich vom 12. Dezember 1930 bestätigt. 44. Arret de 1&amp; Ire Seotion civile du 13 mai 1931 dans la ca.use 13allque Popu1&amp;ire Suiase contre Ca1a.me et conaorts. Oautionnement. Dol. Art. 28 CO. En matiere da cautionnement, comme en d'autres, le oreancier n'est pas, dans 180 regle, .tenu de renseigner les cautions; mais il y aura dol lorsque, sachant que 180 caution na s'engagerait pas si on lui revelait l'etat des ohoses reel, le oreaneiar le lui laisse ignorer volontairement. Et e'est agir dolosivament que, d'essayer - fut-oe en gardant le silenee - de faire supporter par des tiers, qui n'y sont pour rien, une dette qu'on est Bur le point de subir (consid. 2). A. - La maison Jules Courvoisier &amp; Cie, fonderie, a Geneve, avait entre autres banquiers 180 Banque popu- laire suisse, a Geneve, Oll elle es·comptait ses papiers et qui lui faisait des avances de fonds. A 180 fin du mois d'octobre et au commencement du mois de novembre 1921, 180 Banque exigea des garanties sous forme de cautionnements, mena9ant de porter plainte penale. Jules Courvoisier proposa a 180 Banque son· frere Paul et ses amis Calame, Zimmerli et Glatz, defendeurs au pro- ces. Ds furent agrees. M. Corbat, directeur de l'etablisse- ment de 180 Banque a. 180 rue des Acacias, a. Geneve, redigea alors, le 7 novembre, un acte intitule {( acte de credit en compte courant avec cautionnement ». On y lit que la Banque ouvre a. Jules Courvoisier &amp; Cie un cremt jusqu'a. concurrence de 50000 fr. en capital et de 1(' 000 fr. en inoorets, commiSaions et autres accessoires, Jules Cour- Obligationenrecht. N0 44. 277 voisier &amp; Cie se reconnaissant debiteurs de toutes sommes qu'ils preleveront a la Banque; ils autorisent celle-ci a l~s debiter de tous effets de change portant leur signatnre, qm pourraient se trouver en 180 possession de 180 banque ou qui Iui parviendraient, en tout temps. Paul Courvoisier, Calame, Zimmerli et Glatz signerent cet acte en qualite de cautions solidaires, sur l'assurance de Jules Courvoisier qua sa situation financiere etait saine, qu'il etait sur le point de remettre sou entreprise et que leur garantie serait seulement temporaire. A 180 fin du mois de decembre 1921, 180 Banque estima qu'elle etait insuffisamment garantie et qu'il lui fallait encore 25000 fr. M. Corbat etablit deux effets de change, dont les chiffres etaient laisses en blanc, et il invita Jules Courvoisier, derechef en le mena9ant, ales faire signer. Jules Courvoisier s'approcha de nouveau de son frere Paul et de Jules Calame. Ceux-ci finirent par signer le 3 janvier 1922 les effets apres que Calame en eut indique les mon- tants par 15 000 et 10 000 fr. Les effets etaient a l'echeance des 5 avril et 5 mai 1922. Ils ne devaient pas, preten- dument, sortir des portefeuilles de 180 Banque populaire : on se bornerait ales renouveler, au besoin, jusqu'a. 180 remise de la fonderie. Peu apres, le veritable etat de choses apparut. Jules Courvoisier &amp; Cie doivent a la Banque populaire suisse des sommes considerables ; Hs les lui devaient deja. en grande partie lors de 180 signature de l'acte du 7 novembre 1921 ; Jules Courvoisier avait remis a la Banque des traites fictives pour environ 130000 fr. ; il avait trompe ies cautions en leur depeignant comme bonne une situation qui etait en realiM desesperee. B. - Apres avoir introduit des poursuites contre les cautions du cremt du 7 novembre 1921 et les signataires des deux effets du 3 janvier 1922, la Banque populaire suisse les actionna solidairement, au mois de septembre 1922, en paiement de la somme de 52 102 fr. avec interets a 6 % des le 15 mai 1922.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