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45</w:t>
      </w:r>
    </w:p>
    <w:p>
      <w:r>
        <w:t>Bundesgericht (BGE), 1930-11-29, DE</w:t>
      </w:r>
    </w:p>
    <w:p>
      <w:r>
        <w:rPr>
          <w:b/>
        </w:rPr>
        <w:t xml:space="preserve">Quelle: </w:t>
      </w:r>
      <w:r>
        <w:t>https://mcp.opencaselaw.ch/entscheid/bge_57_III_45</w:t>
      </w:r>
    </w:p>
    <w:p>
      <w:r>
        <w:t>FR: ATF 57 III 45</w:t>
      </w:r>
    </w:p>
    <w:p>
      <w:r>
        <w:t>IT: DTF 57 III 45</w:t>
      </w:r>
    </w:p>
    <w:p>
      <w:pPr>
        <w:pStyle w:val="Heading2"/>
      </w:pPr>
      <w:r>
        <w:t>Volltext</w:t>
      </w:r>
    </w:p>
    <w:p>
      <w:r>
        <w:t>44 Schuldbetreibungs- und Konlrursrecht. N0 13. Greift aber Art. 207 Abs. 2 ZGB Platz, so steht nicht in Frage, ob für Schulden des betriebenen Ehemannes Ver- mögen der Ehefrau hafte, sondern ob die Ehefrau selbst Mitschuldnerin geworden sei und ihr Vermögen aus diesem Grund in Anspruch genommen werden könne, d_ h. zum Zwecke der Deckung ihrer eigenen Schuld, die freilich auch, aber eben nicht nur, Schuld des Ehemannes ist. Vermögen der Ehefrau als Schuldnerin, sei es auch Mit- schuldnerin des Ehemannes, kann aber erst dann gepfändet werden, wenn ihre Schuldnerschaft durch unwidersprochen gebliebenen Zahlungsbefehl oder den Rechtsvorschlag beseitigenden Vollstreckungstitel festgestellt ist. Gerade durch die Zustellung eines Zahlungsbefehles wird der Ehefrau Gelegenheit geboten, sich gegen eine allfällig ungerechtfertigte Inanspruchnahme für Mannesschulden zu verteidigen, insbesondere für den Fall, dass sie geltend machen will, es handle sich gar nicht um Haushaltungs- schulden. Diese Einrede will der Rekurrent der Ehefrau des Rekursgegners einfach abschneiden, obwohl er selbst noch bei der Anhebung der Betreibung gegen den Ehemann nicht einmal eine Andeutung gemacht hat, es handle sich um eine Haushaltungsschuld. Davon könnte natürlich keine Rede sein, dass die Befugnis zur Entscheidung hier- über von den Betreibungsbehörden in Anspruch genommen werden dürfte. Übrigens hätte sie nur negativ ausfallen können (vgl. BGE 49 II S. 448). 2. - Der zweite, auf Pfändung der laufenden und künftigen Zinsforderungen aus Vermietung des Hauses der Ehefrau des Rekursgegners abzielende Rekursantrag erledigt sich ohne weiteres auf Grund der Präjudizien, wonach familieilrechtliche Nutzungsrechte, insbesondere in der Betreibung gegen den Ehemann dessen Nutzungs- recht am eingebrachten Frauenvermögen unter dem Güterstande der Güterverbindung, nicht gepfändet werden können, sondern nur die einzelnen Erträgnisse solcher N ntzungen, jedoch erst vom Zeitpunkt an, da sie « Eigen- tum » des Ehemannes werden, was bei zivilen Früchten Schuldbetreibungs- und Konkur"recht. ]'&gt;0 14. 45 die Fälligkeit voraussetzt (Art. 19.5 Abs. 3 ZGB ; BGE 43 III S. 179; 48 III S. 1 ; 51 III S. 220)_ Demnach erkennt die Schuldbetr_- 'und Kankurskammer : Der Rekurs wird abgewiesen. 14. SentenzlL deI a3 marzo 1931 nella causa Auto-Credit-BlLnk A..-G. Nulla osta all'iscrizione d'un patto di riserva della proprieta, quando essa sia chiesta in virtu d'un contratto di vendita in cui un terzo e surrogato nei diritti dell'alienante, quale creditore deI prezzo e beneficiario della riserva di proprieta, ed auto- rizzato a chiedere l'iscrizione deI patto al proprio norne. Im E i gen turn s vor b e haI t s r e gis t e r kann als YeI'- äusserer ein Dritter eingetragen werden, sofern dieser nach dem Kaufvertra.g beziiglich des Kaufpreises und des vorbe- haltenen Eigentums an die Stelle des Verkäufers tritt und ausserdem ermächtigt ist, die Eintragung im eigenen Namen anzumelden. Bien ne s'oppose a l'inscription d'un pacte de reserve de propriete Iorsqu'elle est requise en vertu d'un contrat de vente dans lequel un tiers est subroge aux droits du cedant en qualite de creancier du prix et benMiciaire de la reserve de propriete et, en meme temps, autorise a requerir l'inscription du pacte en son nom. A. - La Auto-Credit-Bank, quale cessionaria dei diritti scatenti 0. favore dell'alienante P. Abry da un contratto di vendita d'un automobile conchiuso colla S. A. Emilio Allidi in Lugano, ha richiesto l'Ufficio di Lugano d'iscrivere detto contratto, 0.1 suo norne, nel registro dei patti di riserva della proprieta. L'ufficio 1e oppose un rifiuto che fu confermato in data 12 dicembre 1930 dal- l'Autorita di Vigilanza dei Cantone Ticino, adita in via di reclamo, pel motivo che secondo la giurisprudenza deI Tribunale federale (sentenza Roller C. Ticino deI 27 giugno 1930) 10. cessione di diritti derivanti da una riserva</w:t>
      </w:r>
    </w:p>
    <w:p>
      <w:r>
        <w:t>46 Schuldbetreibungs. und Konkursrecht. N° 14. della proprieta non puo essere annotata nel registro rela- tivo. B. - La Auto-Credit-Bank ha interposto ricorso aHa Camera Esecuzioni e Fallimenti deI Tribunale federale ehiedendole d'annullare Ia deeisione 12 dicembre 1930 e d'ordinare all'Uffieio di Lugano d'iseriverla, quale cessionaria dei diritti dell'alienante, nel registro dei patti di riservata proprieta, nella rubriea in eui figurano « il nome, Ia professione ed il domieilio dell'alienante)). In via subordinata essa ehiede che Ia eessione sia menzionata nella colonna in eui e indieato il notifieante. Oonsiderando in diritto : L'autorita eantonale ha ritenuto a torto ehe Ie eonsi- derazioni svolte da questa Camera nella sentenza Roller deI 27 giugno 1930 osti;no all'iserizione deI patto di riser- vata proprieta anehe nella fattispecie. In detta sentenza il Tribunale federale ha infatti dichiarato ehe le mutazioni intervenienti fra i titolari di diritti sgorganti da un patto di riserva della proprieta iscritto non possono essere anno- tate nel registro, questa possibilita non essendo prevista dal vigente regolamento 19 dieembre 1910. In concreto Ia situazione e invece diversa poiche Ia ricorrente non ehiede l'iserizione della eessionedi diritti derivanti da un patto di riserva della proprieta gia iscritto, ma l'iscrizione stessa deI patto, in virtu d'un contratto di vendita, ehe surroga all'alienante un terzo, in veste di eessionario - la Auto-Credit-Bank - ed autorizza questa Banca a ehiedere l'iserizione deI patto « auf ihren Namen u. mit vVirkung für sie». Contrariamente a quanto l'autorita cantonale ritiene, il regolamento 19 dicembre 1910 non im pedisce affatto un'iscrizione chiesta in queste condizioni, in forza deI contratto intervenuto fra l'alienante, I'acqui- rente e Ia Banea, ed in favore di quest'ultima quale credi- trice deI' prezzo di vendita e beneficiaria della riserva di proprieta, vale a dire come proprietaria. I patti iscritti in siffatte condizioni sono anzi frequenti. Schuldbetreibungs. und Konkursre"hl. Xo I;:;, 47 La camera esecuzioni e fallimenti pmnuncia : Il rieorso e ammesso. 15. Arr6t du 26 mars 1931 dans la cause J. Rod S. A. Poursuite dirigee contra une Societe anonyme. Si la Sociew possMe un local d'affaires ou Ull bureau an for &lt;10 la poursuite, les actes de poursuite seront. yalablemcnt notifü'''; dans ce lieu (consid. 2). Personnes ayant qualiM pour recevoir les act.es dc poursnitc- an nom de la Sociew (consid. 3 et 4). Art. 46, 64, 65, 66 L. P. Betreibung gegen eine Aktiengesellschaft. Wenn die Gesellschaft 30m Betreibungsort ein Geschäftslokal hat, so können ihr die Betreibungsurkunden dort giiltig zuge- stellt werden (Erw. 2). Personen, an welche die Zustellung zu Handen der Gesellschaft erfolgen kann (Erw. 3 und 4). Art. 46, 64, 65, 66 SchKG. Esecuzione diretta. contro una societa anonima. Se la societa h30 un 10cale d'affari od un ufficio nel luogo dell'ese- cuzione, gli atti d'esecuzione possono es.qerle notificati in quest{) luogo (consid. 2). Persone a cui PUQ esser fatta la notifica pe conto della societa. (consid. 3 e 4). Art. 46, 64, 65, 66 LEF. A. - A la requete de la soeh~te creanciere, l'office des poursuites de Monthey a etabli, le 30 octobre 1930, le commandement de 'payer N0 10695, adresse a la « S. A. Constructions Modernes et Travaux publics, Monthey, par notification a votre administrateur )). Ce commande- ment de payer a et8 remis par la poste entre les mains de Sieur Cornaz, employe de la debitrice. Celle-ci n'ayant pas fait opposition, la creanciere a requis la continuation de la poursuite; sur quoi une commination de faillite a ete remise par la poste, le 29 novembre 1930, a Sieur Cornaz egalement. B. - Me BioIey, agissant pour le compte de la societe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