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168</w:t>
      </w:r>
    </w:p>
    <w:p>
      <w:r>
        <w:t>Bundesgericht (BGE), 1931-01-01, DE</w:t>
      </w:r>
    </w:p>
    <w:p>
      <w:r>
        <w:rPr>
          <w:b/>
        </w:rPr>
        <w:t xml:space="preserve">Quelle: </w:t>
      </w:r>
      <w:r>
        <w:t>https://mcp.opencaselaw.ch/entscheid/bge_57_III_168</w:t>
      </w:r>
    </w:p>
    <w:p>
      <w:r>
        <w:t>FR: ATF 57 III 168</w:t>
      </w:r>
    </w:p>
    <w:p>
      <w:r>
        <w:t>IT: DTF 57 III 168</w:t>
      </w:r>
    </w:p>
    <w:p>
      <w:pPr>
        <w:pStyle w:val="Heading2"/>
      </w:pPr>
      <w:r>
        <w:t>Volltext</w:t>
      </w:r>
    </w:p>
    <w:p>
      <w:r>
        <w:t>168 ~dlUldbetreibungs. und Konkursrecht. N° t(~ oxö. cutee anparavant. Art. 53 LP. Dans la procedure de recours dl3vallt Ir Tl!' il lle pellt €-trc nlh'gtl(' !le /aits nouveaux. Al't. 80 OJF. Quando nel COl'SO (lell'esec\lzione, mH prillla dell'avvi,;o (anehe all'estero) l'esecuzione non PIH; eRsere eontillllRt a al foro precedente. Anche la pal'tecipazione aÜ Illl pignoJ' tYHllti il Triblmale federale. A. - Die R.ekurrentin hatte Ende November· 1030 in I\:reuzlingen gegen den dort wohnenden Rekursgegner einen Arrest herausgenommen, wogegNl der Rekurs~ gegner Arrestaufhebungsklage an.'1trl'ngte, und Anfango; Dezember Betreibung angehoben. Auf daH am IH. Fehruar 1931 gestellte Fortsetzungsbegehren hin wurden die Arrestgegenstände am 17. Februar gepfändet. Nachdem am 6. :Mai die Arrestaufhebungsklage zugesprochen worden war, verlangte der Rekursgegner die Aufhebung der Pfändung mit der Begründung, er habe sich schon am 13. Februar von Stuttgart aus in Kreuzlingen abge- meldet. Das Betreibungsamt entsprach dem Gesuche mit der Begründung, der Rekursgegner sei schön vor dem Pfändungsvollzug ins Ausland weggezogen, der Pfändungsvollzug also erst nach dem Wegzug ins Ausland erfolgt; die Betreibung könne aber ohne einen sie stützenden Arrest gegen den im Auslande wohnenden Schuldner nicht mehr fortgesetzt werden. B. - Hiegegen führte der Rekurrent Beschwerde, wobei er u. a. geltend machte: Es sei irrelevant, ob der Rekursgegner zur Zeit der Pfändung noch in Kreuz- lingen gewohnt habe oder nicht. Die Argumente des Betreibungsamtes würden da.zu führen, dass ein Schuldner 170 SchuldbetreibungEl- und Konkursrecht. N0 43. durch jeden Wohnsitz wechsel die Betreibung bezw. deren Fortsetzung verhindern könnte. O. - Die kantonale Aufsichtsbehörde hat am 28. Sep- tember 1931 die Beschwerde abgewiesen. D. - Diesen Entscheid hat die Rekurrentin an das Bundesgericht weitergezogen und dabei vorgebracht, der Rekursgegner habe vor dem 17. Februar noch nicht einen neuen Wohnsitz - in Stuttgart - erworben. Die Schuldbetreibungs-und Konkurskamrner zieht in Erwägung: Nachdem durch die Gutheissung der Arrestaufhebungs- klage festgestellt worden ist, dass die Rekurrentin keinen Arrestgrund gegen den Rekursgegner hatte, kann, wie die Vorinstan(zutreffendlentschieden hat, die Rekurrentin nichts mehr aus Art: ~52 :SchKG herleiten der den BetreibungsOl't des 'Arr~es ~orsieht. Indess~n hat die Aufhebung des Arrestes deswegen nicht' auch den Hinfall der alsbald nach seinem Vollzug angehobenen Betreibung nach sich gezogen, weil sie am allgemeinen Betreibungsorte des Rekursgegners geführt worden war. Allein wenn der Schuldner nach Anhebung der Betreibung seinen Wohnsitz verändert, so wird gemäss Art. 53 SchKG die Betreibung nur dann am Orte, wo die Betreibung angehoben worden ist, auch fortgesetzt, wenn dies erst geschieht, nachdem ihm die Pfändung angekündigt worden ist. Zutreffend hat die VorinstaRZ diese und nicht die von der Rekurrentin angeführte Vorschrift des Art. 66 SchKG zur Anwendung ;gebracht, ;die zur Voraussetzung hat, dass der im Auslande wohnende Schuldner in der Schweiz einen Betreibungsort habe. Dass der Rekurs- gegner Kreuzlingen verlassen habe, bevor ihm die Pfändung angekündigt worden ist, bestreitet die Rekurrentin auch vor Bundesgericht nicht. Dagegen macht sie nun vor Bundesgericht geltend, der Rekursgegner habe bis dahin nicht einen neuen Wohnsitz (in Stuttgart) erworben. weshalb gemäss Art. 24 Aha. 1 ZGB derjenige in Kreuz- Schuldbetreihun"". und Konkur;;recht. !\'o 43. 17 I lingen damals noch bestehen geblieben sei. Allein abgt'- sehen von der Frage, ob Art. 48 SchKG nicht der Anwen- dung des Art. 24 Abs. 1 ZGB für die Bestimmung des Betreibungsortes entgegelk~ehe (vgl. JAEGER, ~ote :~ zu Art. 46 SchKG), sind diese Behauptungen und die bezüglichen Beweisantretungen vor den kantonalen Auf- sichtsbehörden nicht aufgesteUt worden und daher gemäss Art. 80 des Bundesgesetzes über die Organisation der Bundesrechtspflege unbeachtlich, der unter gewissen Vorbehalten auch auf den Rekurs in Betreibungs- und Konkurssachen Anwendung zu finden hat (vgI. BGE 54 III S. 47 Erw. 1). Xachdem das Betreibungsamt der ange- fochtenen Yerfügung' den "'ohnsitzwechsel des Rekurs- gegners zugrunde gelegt. die Rekurrentin jedoch vor den Vorinstanzen, wie ausgeführt. dief' nicht in Zweifel gezogen, sondern einfach den Standpunkt eingenommen hat, es komme nichts auf diesen 'Yohmitzwechsel an, ist sie mit ihrer bezüglichen Bestreitung ausgeschlos~en und muss es bei der Annahme der Vorinstanzen das Bewenden haben, dass der Rekursgegner im Zeitpunkte der Pfändungsankündigung keinen ,,-ohl1.',itz mehr in Kreuzlingen gehabt habe. Für eine abweichende Lösung im Falle des Wegzuges ins Ausland, nämlich dahin. dass dann die vorausgegangene Pfändungsankündigung nicht Voraussetzung der Fortsetzung der Betreibung arn bisherigen Orte sei, geben die einschlägigen Vorschriften keinen Anhaltspunkt ab. Ebensowenig ist Art. 53 SchKG der Auslegung zugänglich, dass, wenn auf das Fortsetzungs- begehren ein es Gläubigers hin die Pfändung vor dem \Vohnsitzwechsel angekündigt worden ist und daher am bisherigen Orte vollzogen werden kann, gleiches auch zugunsten jedes anderen während der Teilnahme- frist die Fortsetzung verlangenden Gläubigers ungeachtet des inzwischen erfolgten \Yohnsitzweehsels 'gelten müsse. Demnach erkennt die Schuldbetr.- u. Konkur8kamrne1':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