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489</w:t>
      </w:r>
    </w:p>
    <w:p>
      <w:r>
        <w:t>Bundesgericht (BGE), 1930-01-01, DE</w:t>
      </w:r>
    </w:p>
    <w:p>
      <w:r>
        <w:rPr>
          <w:b/>
        </w:rPr>
        <w:t xml:space="preserve">Quelle: </w:t>
      </w:r>
      <w:r>
        <w:t>https://mcp.opencaselaw.ch/entscheid/bge_56_I_489</w:t>
      </w:r>
    </w:p>
    <w:p>
      <w:r>
        <w:t>FR: ATF 56 I 489</w:t>
      </w:r>
    </w:p>
    <w:p>
      <w:r>
        <w:t>IT: DTF 56 I 489</w:t>
      </w:r>
    </w:p>
    <w:p>
      <w:pPr>
        <w:pStyle w:val="Heading2"/>
      </w:pPr>
      <w:r>
        <w:t>Volltext</w:t>
      </w:r>
    </w:p>
    <w:p>
      <w:r>
        <w:t>den erwerbsunfähigen jugendlichen Nachkonunen. Haben die Nachkommen die Erwerbsfähigkeit erreicht, So haben sie überhaupt keinen Anspruch auf eine Rente nach Art. 35, Aba. 1 der Kassenstatuten. Der Anspruch kann darum auch durch eine später eintretende Erwerbsunfähigkeit nicht begründet werden. Dies gilt für das Kind, das beim Tode des Beamten noch nicht 18 Jahre alt ist und bis zu diesem Zeitpunkt die Waisenrente bezogen hat. Seine . Rentenberechtigung endigt' unter normalen Verhältnissen mit Erreichung dieser Altersgrenze. Wird es später er- werbsunfähig und unterstützungsbedÜrftig, so gewährt ihm Art. 35 der Kassenstatuten keine weiteren Leistungen. Ist aber bei diesen Kindern eine später eintretende Er- werbsunfähigkeit kein Grund für die Ausrichtung einer Waisenrente, so kann es sich nicht anders verhalten bei einem Kinde, das bei Lebzeiten des Vaters das 18. Alters- jahr erreicht hat, erwerbsfähig geworden ist, und dann die Erwerbsfähigkeit wieder verloren hat. Denn die Waisen, rente nach Art. 35 der Statuten beruht nicht, Wie die Klägerin annimmt, auf dem Gedenken eines billigen Aus- gleichs für die vom verstorbenen Beamten geleisteten Prämienzahlungen. Sie ist ein Versicherungsanspruch, der an das Vorliegen des statutarischen Tatbestandes, näm- lich die Erwerbsunfähigkeit des jugendlichen Nachkommen gebunden ist, wobei bedürftigen Personen die Rente ge- währt wird, wenn sie nie aus dem ursprünglichen, erwerbs- unfähigen Zustand herausgekommen sind. Die Ausdehnung der Rentenberechtigung auf die nach· träglieh eingetretene Erwerbsunfähigkeit aber würde der Waisenrente den Charakter einer Alters- und Invaliditäts- versicherung verleihen, was mit der allgemeinen Ordnung der eidgenössischen Beamtenversicherung unvereinbar wäre. Gegen die Folgen von Alter und Invalidität ist nur der Beamte persönlich versichert. Die Leistungen der Kasse an die Hinterbliebenen beruhen auf besonderen Gründen. Da die Klägerin erst nach Erreichung des 18. Alters- jahres erwerbsunfähig geworden ist, steht ihr ein Anspruch Beamtenrecht. No 78. auf eine Waisenrente nach Art. 35 der Kassenstatuten nicht zu. Die Klage ist demnach abzuweisen. Nicht zu erörtern ist die Frage, ob die Voraussetzungen für die Gewährung von Unterstützungen nach Art. 42 der Kassen· statuten allenfalls gegeben wären. Demnach erkennt das Bundesgericht : Die Klage wird abgewiesen . 78. Arlit du aa decembre 1930 de 1&amp; Chambre c1u contentieu des fonctionna.ires dans 180 cause B. contra Departement federal dea Douanes. La resiliation des rapports de service pour justes motifs (art. 55 StF) na peut etre appliquee aux fonetionnsires auxquels ne sont reproohees qua des fautes disciplinsires. Dans ce C8S ils ne sont psssibles que des peines disciplinsires enUIn6rees A l'art. 31 StF. Les refus reiteres d'obtemperer a. des ordres donnas par l'Admi- nistrstion oompetente en vertu des art. 8 et 14 StF (retrait de l'autorisstion a. bien plaire d'hsbiter hors de la residence de service et refus de l'autorisstion d'sccepter une charge publique) sont oonsideres oomme des violations grsves des de- voirs de service, justifiant la peine disciplinaire de la revoca- tion, sauf dans les MS on les ordres de l' Administration etsient arbit~aires. A. - Le recourant B. entra. au service de l' Administration federale des douanes en 1913. Des 1917. il fut appele a, exercer ses fonetions a, G .. on il etablit son domicile. Au cours de l'annee 1923 B. sollicita a, deux reprises l'autorisation d'habiter le village de C., mais l'A ;.~ s·--------- OFDAO Offset-, Fonnular- und Fotodruck AG 3000 Bem 499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