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55 II 221</w:t>
      </w:r>
    </w:p>
    <w:p>
      <w:r>
        <w:t>Bundesgericht (BGE), 1929-07-09, DE</w:t>
      </w:r>
    </w:p>
    <w:p>
      <w:r>
        <w:rPr>
          <w:b/>
        </w:rPr>
        <w:t xml:space="preserve">Quelle: </w:t>
      </w:r>
      <w:r>
        <w:t>https://mcp.opencaselaw.ch/entscheid/bge_55_II_221</w:t>
      </w:r>
    </w:p>
    <w:p>
      <w:r>
        <w:t>FR: ATF 55 II 221</w:t>
      </w:r>
    </w:p>
    <w:p>
      <w:r>
        <w:t>IT: DTF 55 II 221</w:t>
      </w:r>
    </w:p>
    <w:p>
      <w:pPr>
        <w:pStyle w:val="Heading2"/>
      </w:pPr>
      <w:r>
        <w:t>Volltext</w:t>
      </w:r>
    </w:p>
    <w:p>
      <w:r>
        <w:t>220 Versicherungsvertrag. N° 46. consequent, non point aux regles du droit federal. mais aux dispositio~8 du droit cantonal. expressement reservees par l'art. 103 LCA. C'est done a tort que la Cour de Justice civile a cru pouvoir examiner a la lumü~re du droit federalle merite de l'exception de prescription sonlevee par la defenderesse. Le jugement doit des lors etre annnle et la cause renvoyee a l'instance cantonale pour qu'elle statue a nouveau en tenant compte des norm es du droit cantonal genevois. Au surplus, il convient de relever que si le droit federal avait ere applicable, l'exception de prescription aurait du etre admise. En effet, ce n'etait point aux regles du code des obligations qu'il eut fallu se reporter, mais a celles de la loi sur le contrat d'assurance. Or,l'art. 46 LCA prevoit que les creances. derivant du contrat d'assurance se prescrivent par deux ans a dater du fait d' Oll nan l'obligation. En l'espece ce fait est le deces de l'assure Grillet, qui remonte au 16 septembre 1924, soit a plus de deux ans avant la date de la demande en justice. Le Tribunal f6leral prononce : Le recours est admis en ce sens que 10 jugement attaque est annule et la cause renvoyee a l'instance cantonale pour nouveau jug('ment. Muster- und Modellschutz_ N0 47. VIII. MUSTER- UND MODELLSCHUTZ PROTECTION DES DESSINS ET MODELES ll~DUSTRIELS :!21 47. tl'rteil der I. ZivilabteUung vom 9. Juli 19a9 i. S. Balloid. Basler Celluloidwarenfabrik A.-G. gegen Walter-Obreoht A.-G. 1\1 11 s t e r - 11 n d Mo deli s 0 h 11 t z. Begriff des schutzfählgen Musters oder Modelles. MMG Art. 2, 3, 12 4• A. - Die Beklagte, Balloid, Basler Celluloidwaren- fabrik A.-G., in Therwil, hinterlegte am 26. Februar, 5. und 11. Mai 1925 beim Eidg. Amt für geistiges Eigen- tum in Bern insgesamt 4378 Modelle von Frisierkämmen. Bei allen diesen Kämmen handelt es sich um Abarten einer Grundform, die einen Kamm mit doppelt geschweif- tem Zahnfeld und einfach oder doppelt geschweiftem Rücken darstellt. Auf Grund dieser Hinterlegungen ver- sieht die Beklagte die Kämme, die sie in den Handel bringt, mit dem Aufdruck « Depose I). B. - Am 12./13. Dezember 1928 hob die Klägerin, O. Walter-Obrecht A.-G., welche seit Jahrzehnten in Mümliswil eine Kammfabrik betreibt, beim Obergericht des Kantons Baselland die vorliegende Klage an, mit dem Rechtsbegehren, {( es seien die von der Beklagten voll- zogenen Modellhinterlegungen als ungültig zu erklären I). Zur Begründung dieses Begehrens macht die Klägerin geltend : Sämtliche hinterlegten KamInformen entbehren der Neuheit. Kämme mit einfach und doppelt geschweif- tem Rücken seien schon lange im Gebrauch, ebenso sei das einfach oder doppelt geschweifte Zahnfeld seit langem üblich. Die Klägerin stelle selbst seit 1910 solche Kämme her. Die Kombination des geschweiften Rückens mit dem einfach· oder doppelt geschweiften Zahnfeld sei ebenfalls AS 55 II - 1929 16 222 i!1uster- und lVlodellschutz_ Xo 47. vorbekannt ; sie selber fabriziere derartige Kämme seit 1912. Die Klagc müsse aber auch darum gutgeheissen werden, weil die Schweifung des Zahnfeldes lediglich einen Nützlichkeitszweck, die Anpassung desselben an die Kopfform, verfolge. Eine Neuerung, die in der Erreichung eines technischen Fortschrittes bestehe, könne nur auf dem Wege des Patent-, nicht auf demjenigen des Modell- schutzes zum Gegenstand eines Sonderrechtes gemacht werden. Die Formwirkung der geschweiften Zahnlinie sei eine sehr geringe, wie denn auch die Beklagte selber in ihrer Propaganda stets den Nützlichkeitszweck ihrer angeblichen Neuerung hervorgehoben habe. C. -- Die Beklagte hat Abweisung der Klage beantragt. Sie führt aus, sie habe es von Anfang an darauf abgesehen gehabt, und es sei ihr gelungen, einen besonders schönen, auf den Formsinn wirkenden Kamm herzustellen. Kämme mit doppelt geschweifter Zahnlinie seien neu. Der Hin- weis der Klägerin auf ihre Musterbücher sei unbehelflich, denn sie habe die hienach hergestellten Kämme in der Schweiz gar nicht, im Auslande nur sehr spärlich ver- kaufen können. Die Klage müsse schon dann abgewiesen werden, wenn die Kämme der Beklagten auch nur in~der Schweiz neu seien. Richtig sei, dass die Schaffung eines Zahnfeldes mit doppelter Schweifung (einer für die groben und einer für die feinen Zähne) an sich einen Nutzeffekt verfolge; massgebend sei indes!,lCn, dass der ganze Balloid- kamm als Kombination verschiedener teilweise vorbe- kannter Elemente eine originelle Wirkung auf den Form- sinn ausübe. In der von der Beklagten entfalteten Pro- paganda sei nicht nur auf den Nutzeffekt hingewiesen, sondern es seien stets auch die ästhetischen Vorteile der von ihr hergestellten Kämme betont worden. D. - Mit Urteil vom 8. März 1929 hat das Obergericht des Kantons Baselland die Klage gutgeheissen und dem- gemäss erkannt : « Die von der Beklagten beim Eidg. Amt für geistiges Eigentum in Bern hinterlegten Modelle Nr. 37159 vom Muster- und Modellschutz. Xo 47. 26. Februar 1925, Nr. 37471 vom 5. Mai 1925 und Nr. 37501 vom 11. Mai 1925 werden als ungültig erklärt. )} E. - Gegen dieses Urteil hat die Beklagte die Berufung an das Bundesgericht erklärt, mit dem Antrag auf Ab- weisung der Klage. DM Bunde8gericht zieht in Erwägung : Nach Art. 2 MMG und der Rechtsprechung des Bundes- gerichts muss ein gewerbliches Muster oder Modell, um schutzfähig zu sein, eine auf das Auge wirkende, sich an das ästhetische Gefühl wendende äussere Formgebung aufweisen, sei es in graphischer, sei es in plastischer Ge- stalt, mit öder ohne Farben, die zum Zwecke hat, bei der gewerblichen Herstellung eines Gegenstandes als Vorbild zu dienen (vgL BGE 29 TI 366; 35 II 675 f.; Urt. vom 15. November 1912 i. S. Scholl g. Gerike, Erw. 2). Es fragt sich, ob die von der Beklagten hinterlegten Kammodelle diese Erfordernisse erfüllen. Auf den gesetzlichen Schutz kann die Beklagte für die äussere Formgestaltung ihrer Kämme jedenfalls insoweit nicht Anspruch erheben, als dieselbe Nützlichkeitszwecken dient (MMG Art. 3). Das trifft für die Schweifung der Zahnung offenbar zu, und es konnte auch der Anordnung, die darin besteht, jedes der beiden Zahnfelder für sich in gleichartiger Weise zu schweifen, nur das Bestreben zugrunde liegen, die Brauch- barkeit des Kammes noch zu erhöhen. Die Beklagte hat selbst bei Anpreisung ihrer Kammodelle den Nützlich- keitseffekt in den Vordergrund gerückt und den « Balloid- Kamm )} 11ls denjenigen hingestellt, der sich « dem Kopfe )} oder {( der Kopfform anpasse )} ; dass sie schon vor Zustel- lung der vorliegenden Klage den Plan gefasst hatte, künftighin vorwiegend die ästhetischen Vorzüge ihrer Kammform hervorzuheben, hat sie laut vorinstanzlicher Feststellung nicht darzutun vermocht, und diese Fest- stellung ist nach Art. 81 OG für das Bundesgericht ver- bindlich. Selbst wenn daneben von einer ästhetischen Wirkung, einem gefälligen Aussehen der hinterlegten )[UHter- und Modellschutz_ No 4i. Kammodelle gesprochen werden könnte, so stünde diese }i'ormwirkung doch in engstem Zusammenhange mit der erJ';ielten Nützlichkeitsfunktion, wie es sich bei Frisier- kämmen überhaupt um Gebrauchsgegenstände handelt, deren Wesen nicht sowohl darin besteht, durch ihre äussere Erscheinung den Geschmack zu befriedigen, als vielmehr darin, vermöge ihrer praktischen Verwendbarkeit einen Nützlichkeitszweck zu erfüllen. Damit von einem Schutze unter dem Gesichtspunkte des nach dem MMG allein in Betracht kommenden « Geschmacksmusters » die Rede sein könnte, müsste sonst in ästhetischer Richtung etwas vorliegen, was geeignet wäre, den Schönheitssinn zu befriedigen : die ästhetische Wirkung darf nicht ein blosser Ausfluss, eine notwendige Folge der mit der Formgebung bezweckten und ermöglichten praktischen Vorzüge sein (vgl. BGE 38 II 314 und das bereits zit. Urteil i. S. Scholl g. Gerike, Erw. 2). Im übrigen liegt die doppelte Schwei- fung des Zahnfeldes und ihre Verbindung mit einer Rückenschweifung derart auf der Hand, dass auch vom rein ästhetischen Standpunkt aus betrachtet nicht gesagt werden könnte, die Beklagte habe damit etwas wirklich Eigenartiges zum Ausdruck gebracht. Die Klage muss daher schon gestützt auf Art. 12 Ziff. 4 MMG gutgeheissen werden, weil die hinterlegten Kämme nicht als Modelle im Sinne des Gesetzes angesehen und geschützt werden können. Demnach erkennt elas Bundesgericht: Die Berufung wird abgewiesen und das Urteil des Obergerichts des Kantons Baselland vom 8. März 1929 bestätigt. IX. SCHULDBETREIBINGS- UND KONKURSRECHT POURSUITE ET FAILLITE Vgl. III. Teil No 20. - Voir IIle partie n° 20. L PERSONENRECHT DROIT DES PERSONNES 48. Auszug a.us dem Urteil der Il ZivilabteUung vom 10. Oktober 1929 i. S. Frauenfelder gegen Fra.uenfelder. Ur t eil s f ä h i g k e i t, Art. 16 ZGB. Stellung des Richters gegenüber einem psychiatrischen Gutachten, das eine durch Geisteskrankheit bedingte Urteilsunfähigkeit feststellt (Erw. 1). Stellung des Bundesgerichtes gegenüber der Würdigung dieses Gutachtens und anderer Indizien durch den kantonalen Richter (Erw. 1 und 3). Inhalt des Begriffes .der Urteilsfähigkeit. (Erw. 4). Aus dem Tatbestand: Die Klägerin hat dem Beklagten, ihrem Sohn, mit Vertrag vom 24. April 1923 die Liegenschaften, sowie das darauf betriebene Steinmetzgeschäft und den Hausrat verkauft, die sie im Jahre 1914 aus dem Nachlass ihres Ehemannes übernommen hatte. In der Folge wurde sie wegen Geisteskrankheit bevormundet. Mit der vorliegen- den Klage ficht ihr Vormund mit Zustimmung der Vor- mundschaftsbehörde jenen Kaufvertrag wegen mangelnder Urteilsfähigkeit der Klägerin im Zeitpunkt des Vertrags- abschlusses an. Das Obergericht des Kantons Schaffhausen hat die Klage in Übereinstimmung mit der ersten Instanz abge- wiesen, obwohl der vom Gericht als Experte bestellte Psychiater zum Schluss gekommen war, dass die Geistes- krankheit der Klägerin am 24. April 1923 bereits einen Grad erreicht habe, «der ihre Handlungsfähigkeit aus- schloss» und dass « eine vorübergehende Besserung zur fraglichen Zeit, soweit dass etwa die Handlungsfähigkeit AS 55 II - 1929 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