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171</w:t>
      </w:r>
    </w:p>
    <w:p>
      <w:r>
        <w:t>Bundesgericht (BGE), 1929-01-01, DE</w:t>
      </w:r>
    </w:p>
    <w:p>
      <w:r>
        <w:rPr>
          <w:b/>
        </w:rPr>
        <w:t xml:space="preserve">Quelle: </w:t>
      </w:r>
      <w:r>
        <w:t>https://mcp.opencaselaw.ch/entscheid/bge_55_III_171</w:t>
      </w:r>
    </w:p>
    <w:p>
      <w:r>
        <w:t>FR: ATF 55 III 171</w:t>
      </w:r>
    </w:p>
    <w:p>
      <w:r>
        <w:t>IT: DTF 55 III 171</w:t>
      </w:r>
    </w:p>
    <w:p>
      <w:pPr>
        <w:pStyle w:val="Heading2"/>
      </w:pPr>
      <w:r>
        <w:t>Volltext</w:t>
      </w:r>
    </w:p>
    <w:p>
      <w:r>
        <w:t>170 Schuldbetreibungs. und Konkursrecht. N° 41. S'il en est ainsi en matiere d'action revocatoire, il faut admettre aussi que, dans le cas d'une alienation, non pas . simplement revocable, mais radicalement nulle en vertu da l'art. 204,180 masse 80 la faculre de reaIiser les immeubles sans etre obligee de faire proceder prealablement a une rectification du registre foncier. TI faut cependant que l'acquereur consente a 180 realisa- tion par l'administration de 180 faillite ou que celle-ci obtienne un jugement contre lui, lorsque, comme en l'espece, on n'est pas en presence d'un transfert de pro- priere ·opere apres la publication de 180 faillite (pareil transfert serait inopposable a 180 masse en toute hypo- these; cf. JAEGER n. 7 sur art. 204). La transfert etant intervenu a'vant 180 publication de 180 faillite, quoique posre- rieurement a l'ouverture de celle-ci, il peut etre oppose a 180 masse, si l'acquereur est de bonne foi, et I'acquereur ne peut etre depossede par l'administration de 180 faillite que s'il y consent ou si un jugement .l'y contraint. La Ohambre des PO'Ursuite8 et des Faillite8 prononce : La recours est rejere dans le sens des motifs du present amt. 41. Auszug aus dem Entscheid vom U. Dezember 1929 i. S. Albiez. Z u s tell u n g von Betreibungsurkunden durch die Post an Schuldner, die ein Pos t f ach innehaben. Notification d'a.ctes de poursuite par 180 poste a un debiteur qui a une CaBe postale. Notificazioni di atti esecutivi per mezzo deUa posta ad un debitore che possede uns. eaaella postak. . Hat ein Schuldner zur Inempfangnahme von Brief- sendungen ein Postfach inne, so hat die Zustellung eines vom Betreibungsamt ausgehenden, eingeschriebenen Briefes als an dem Tage erfolgt zu gelten, an welchem die Anzeige vom Eingang des Briefes von der Post in das Fach gelegt wird, vorausgesetzt, dass dies vor Schalterschluss ge- schieht und der Empfänger damit die Möglichkeit erhält, Sohuldbet.reibungs. und Konkursrecht (Zivilabteilungen}. N0 42. 171 den Brief noch am betreffenden Tage abzuheben. Wollte man das nicht annehmen, so hätte es der Schuldner in der Hand, die Zustellung von Betreibungsurkunden, die durch die Post befördert werden, nach Belieben hinaus- zuzögern oder ganz zu verhindern, indem er solche Brief- sendungen einfach uneingelöst liesse .. II. URTEILE DER ZIVILABTEILUNGEN ARR:mTS DES SECTIONS CIVILES 42. Auszug a.us dem Urteil 4er lL Zivila.bteUung vom 24. Oktoker 1929 i. S. Zulauf-IIerrmann gegen Beiniger. Zur Anfechtungsklage nach Art. 285 Ziff. 1 SchKG ist nicht nur der ursprüngliche sondern auch jeder spätere Verlustscheingläubiger legitimiert. L'aetion f'~vocatoif'e da l'arl. 285, eh. 1, LP appartient non seule- ment au crea.ncier primordial, mais atout creancier posterieur porteur de l'acte de defaut de biens. L'ozione rioocatoria prevista dall'arl. 285 ep. 1 LEF spetta non solo a1 creditore primitivo ma anche ad ogni creditore ulteriore, possessore dell'attestato di care~ di beni. AU8 dLm Tatbestand : Die Klägerin, Witwe Rosina Zulauf-Herrmann, haftete solidarisch mit Witwe Emma Käser-Friedli aus einer Bürgschaft. Der Gläubiger führte gegen Witwe Käser Betreibung durch, wobei fast die gesamte Forderung ungedeckt blieb. Vom Gläubiger belangt, bezahlte die Klägerin den ganzen noch ausstehenden Betrag. Darauf- hin händigte ihr der Gläubiger den Verlustschein gegen Witwe Käser aus. Auf Grund des Verlustscheins focht Witwe Zulauf ein von Witwe Käser mit dem Beklagten, Fritz Heiniger, abgeschlossenes Kaufgeschäft an. Der Beklagte bestritt u. a. ihre Klagelegitimation mit der Begründung, zur Anstellung der Klage nach Art. 285 Ziff. I SchKG sei nur der Gläubiger' berechtigt, der den Verlustschein ausgestellt erh~ten habe und nicht auch derjenige, auf den die For- 172 Schuldbetreibunga- und Konkursrecht (Zivilabteilungen). N0 42. derung erst später übergegangen sei. Diese Einrede wurde von allen drei Instanzen abgewiesen. vom Bundesgericht • aUS folgenden Erwägungen: Der Beklagte kann seine Auslegung von Art. 285 Zifi. 1 SchKG zur Not auf den deutschen und italienischen Gesetzestext stützen. Diese Auslegung ist indessen schon mit dem französischen Wortlaut unvereinbar, der das Anfechtungsrecht ausdrücklich jedem Verlustscheingläu- biger ( ~ I rimedi ~iuridici interposti contro una sentenza di rigetto prOvvL"Iorio di una opposizlone, non possono impedire il pignoramento provvisorio Niche se per AS 55 III - 1929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