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353</w:t>
      </w:r>
    </w:p>
    <w:p>
      <w:r>
        <w:t>Bundesgericht (BGE), 1928-01-01, DE</w:t>
      </w:r>
    </w:p>
    <w:p>
      <w:r>
        <w:rPr>
          <w:b/>
        </w:rPr>
        <w:t xml:space="preserve">Quelle: </w:t>
      </w:r>
      <w:r>
        <w:t>https://mcp.opencaselaw.ch/entscheid/bge_54_II_353</w:t>
      </w:r>
    </w:p>
    <w:p>
      <w:r>
        <w:t>FR: ATF 54 II 353</w:t>
      </w:r>
    </w:p>
    <w:p>
      <w:r>
        <w:t>IT: DTF 54 II 353</w:t>
      </w:r>
    </w:p>
    <w:p>
      <w:pPr>
        <w:pStyle w:val="Heading2"/>
      </w:pPr>
      <w:r>
        <w:t>Volltext</w:t>
      </w:r>
    </w:p>
    <w:p>
      <w:r>
        <w:t>352 Familienrecbt. N0 64. Meyer, Bolliger, Baumann; Trachsel e certifi~to Schraß). passava, sulla fine di dieembre 1919, a fidanzarsi ufficialmente, coll'assentimento e rintervento dei propn genitori, erano gia trascorsi otto mesi dal principio della relazione amorosa e circa tre dacche, per Ja prima volta, aveva goduto i favori dell'amante, i cui falli ed il conto ehe essa ne faceva gli erano noti gia. da allora; fruli dei quali, nel suo intimo; egli l'aveva indub- biamente assolta, come e lecito dedurre da parecchie sue lette re riboccanti di affetto. Le cose erano. giunte. a tal punto che il convenuto andava in eerca di un appartamento in vista delle prossime nozze. Sarebbe dunque eccessivo il ntenere ehe l'istanza eantonale abbia erroneamente applicata la legge (an. 57 OG) ammettendo chef in queste condizioni, il.conve- nuto, il quale nulla ha da rimproverare all'attrie~~ per il periodo posteriore all'inizio della loro reiazione, non puö prevalersi degli errori da essa commessi prima ehe Ia conoseesse per sottrarsi ad ogni conseguenza pecu- niaria dell'annullamento deI fidanzamento. DeI resto, ne la lettera di rottura deI 29 aprile 1920, ne quelle anteriori, colle quali 10 St. mirava apreparare la fidanzata ed i suoi parenti aH'inattesa sua risolu- zione contengono allusione veruna aHa vita passata dell'attrice ..... . .. 3. - Per quanto concerne Ja misura dell'indennizzo, cui l'istanza cantonale ha condannato il convenutoa titolo di riparazione morale secondo l'art. 93 CC, basta qpnstatare, ehe dall'inattesa rottura della promessa l'ßttrice subi tale depressione nervosa, aggravata da ctlSturbi cardiaci, da rimanere semi-incapace al lavoro p~r circa sei mesi: il ehe costituisce un C pregiudizio gIfve portato alla sua incolumita personale e di conse- gt(ente alle sue relazioni personali (EGGER, Commento 4 a all'art. 28 CC, pag. 104; GMÜR, all'art. 28 CC comm. IV, I, pag. 151). Determinando il risarcimento in 2000 franchi, il giudice cantonale ha equamente apprezzato Familienrecllt. N° 65. 353 le circostanze della causa: ond'e ehe, anehe su questo punto, Ia sentenza querelata merita conferma. Il Tribunale lederale pronuncia : Il ricorso e respinto. 65. ÄllB1lg &amp;118 d6JD Urteil der 11. Zivilabteilung vom· 4. Oktober 1928 i. S. leber-!'rles gegen Luzern. Art. 370 ZGB: «Misswirtschaft.» Nach Art. 370 ZGB ist wegen Misswirtschaft- zti ent- mündigen, wer durch die Art und Weise seiner' Ver- triögensverwaltung sich und seine Familie der Gefahr einer Notlage oder der Verarmung aussetzt und der Fürsorge bedarf. Unter «Vermögensverwaltung » ist -dabei nicht nur die Verwaltung (Verwendung) eines vorhandenen Vermögens, sondern auch die Art und Weise, wie der Betreffende seine Einkommensverhält- nisSe gestaltet, zu verstehen. Wer aus Energielosigkeit, Leichtfertigkeit oder ähnlichen Gründen nicht imstande ist, sich die nötigen Subsistenzmittel zu verschaffen, setzt sich und seine FamilIe ebensosehr der Not und Ver- armung aus und ist ebenso fürsorgebedürftig, wie wenn er ein vorhandenes Vermögen nicht richtig zu verwenden versteht. In beiden Fällen -ist der drohenden Gefahr durch Bevormundung entgegenzutreten, wenn dies auf anderem Wege nicht wirksam geschehen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