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52</w:t>
      </w:r>
    </w:p>
    <w:p>
      <w:r>
        <w:t>Bundesgericht (BGE), 1928-01-01, DE</w:t>
      </w:r>
    </w:p>
    <w:p>
      <w:r>
        <w:rPr>
          <w:b/>
        </w:rPr>
        <w:t xml:space="preserve">Quelle: </w:t>
      </w:r>
      <w:r>
        <w:t>https://mcp.opencaselaw.ch/entscheid/bge_54_III_52</w:t>
      </w:r>
    </w:p>
    <w:p>
      <w:r>
        <w:t>FR: ATF 54 III 52</w:t>
      </w:r>
    </w:p>
    <w:p>
      <w:r>
        <w:t>IT: DTF 54 III 52</w:t>
      </w:r>
    </w:p>
    <w:p>
      <w:pPr>
        <w:pStyle w:val="Heading2"/>
      </w:pPr>
      <w:r>
        <w:t>Volltext</w:t>
      </w:r>
    </w:p>
    <w:p>
      <w:r>
        <w:t>52 Schuldbetreibungs- und Konkursrecht. N° 12. II. KREISSCHREffiEN DES GESAMTGERICHTES CIRCULAIRES DU TRffiUNAL FEDERAL 12. Xreisschreiben Nr. n vom 16. Januar lSIS. K003i.envorschussleistung durch Zettel mit Frankiermaschinen- aufdrucken. A vances de frais au moyen d'empreintes de machines a affranchir. Anticipazione delle spese mediante deposito di carteUini di macchine affrancatrici. Infolge Einführung der Frankiermaschinen vermag die Vorschrift des Art. 3 der bundes rätlichen Verordnung Nr. 1 zum SchKG vom 18. Dezember 1891, wonach der Kostenvorschuss in schweizerischen Postmarken ein- gesandt werden kann, ihren Zweck nicht mehr in gleicher Weise zu erfüllen wie bisher, da die Inhaber von Frankier- maschinen keine Postmarken halten. Einem begründeten Gesuche der Oberpostdirektion entsprechend, ordnen wir daher an, dass auch Frankiermaschinenaufdrucke auf Klebezetteln als Kostenvorschüsse anzunehmen sind, sofern sie die Firma des Maschineninhabers oder dessen abgekürzte Adresse tragen. Die für den Umtausch der Postmarken bestimmten kantonalen ZentralstelIen haben künftig den Umtausch von Frankiermaschinenaufdrucken gegen Geld in gleicherWeise zu vermitteln wie bisher den Umtausch von Postmarken. Zum Frankieren von Postsendungen dürfen solche Frankiermaschinenauf- drucke nicht verwendet werden. OFOAG Offset-, Formular- und Fotod~lICkAG 3000 ßem SchuldbeLreihungs- und Konkursrecht. Pourauite eL faillite. I. ENTSCHEIDUNGEN DER SCHULDBETREffiUNGS- UND KONKURSKAMMER ARR~TS DE LA CHAMBRE DES POURSUITES ET DES FAILLITES 13. Arrit du G mars 1928 en la cause Gervasoni. Art. 110. LP. - Les saisies pratiquees, pour l'execution d'un devoir d'entretien, par la femme ou les enfants du debiteur, sont soustraites a la participation des creanciers ordinaires, dans la mesure Oll elles portent sur la fr action du salaire insaisissable a teneur de l'art. 93. SchKG Art. 110. - Insoweit für Unterhalts forderungen der Ehefrau oder der Kinder des Schuldners ein gemäss Art. 93 SchKG unpfändbarer Teil von Lohnguthaben usw. gepfändet wurde, ist die Teilnahme gewöhnlicher Gläubiger ausge- schlossen. LEF Art. HO. - La partecipazione di creditori ordinari ad un pignoramento e esclusa ove, in esecuzioni per crediti alimentari della moglie- 0 dei figli deI debitore, esso porti su crediti dipendenti. da salari ecc. Par jugement du 16 fevrier 1920, le Tribunal de pre- miere instance de Geneve a prononce Ie divorce des epoux Salomon-Gervasoni, confie a la femme la puis- sance paternelle sur les deux enfants issus du mariage et fixe a 75 francs la pension mensuelle due par Julien Salomon, pour l'entretien des mineurs. En vertu de ce jugement, dame Gervasoni a fait noti- fiel', le 2 novembre 1927, au debiteur un commandement de payer N0 82618, de 244 fr. en capital. Elle a requis AS 54 III - 1928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