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30</w:t>
      </w:r>
    </w:p>
    <w:p>
      <w:r>
        <w:t>Bundesgericht (BGE), 1928-02-21, DE</w:t>
      </w:r>
    </w:p>
    <w:p>
      <w:r>
        <w:rPr>
          <w:b/>
        </w:rPr>
        <w:t xml:space="preserve">Quelle: </w:t>
      </w:r>
      <w:r>
        <w:t>https://mcp.opencaselaw.ch/entscheid/bge_54_III_30</w:t>
      </w:r>
    </w:p>
    <w:p>
      <w:r>
        <w:t>FR: ATF 54 III 30</w:t>
      </w:r>
    </w:p>
    <w:p>
      <w:r>
        <w:t>IT: DTF 54 III 30</w:t>
      </w:r>
    </w:p>
    <w:p>
      <w:pPr>
        <w:pStyle w:val="Heading2"/>
      </w:pPr>
      <w:r>
        <w:t>Volltext</w:t>
      </w:r>
    </w:p>
    <w:p>
      <w:r>
        <w:t>30 Schuldbetreibungs- und KOllkursrecht. N° 8. 8. Entsoheid vom 21. Februar 1928 i. S. Vollenweider-Sohüpbach. Ein Dritter, der einer Pfändung beigewohnt und hiebei einen Gegenstand als Eigentum eines andern Dritten bezeichnet hat, kann nicht nachträglich einen e i gen e n Eigentums- anspruch an dem betr. Objekt erheben mit der Begründung, dass er über das Eigentumsverhältnis im Irrtum gewesen sei (Erw. 1). Ein Drittansprecher kann nicht gehindert werden, während der Pendenz eines Widerspruchsverfahrens das betr. Pfän- dungsobjekt zu veräussern; doch vermag ein solcher Ver- kauf, wenn der betr. Käufer schon vorher von der be- stehenden Pfändung Kenntnis hatte, nicht zu hindern, dass das fragliche Objekt, nachdem die dem ursprünglichen Ansprecher gemäss Art. 107 SchKG gesetzte Frist unbe- nützt verstrichen ist, verwertet werde (Erw. 2). SchKG Art. 106 f. . Le tiers qui a assiste a la saisie et Mdare qu'un certain objet etait Ia propriete d'un autre tiers ne peut revendiquer apres coup pour lui-meme lapropriete dudit objet, en alIeguant qu'il etait dans l'erreur sur ce point (consid. 1). L'on ne saurait empecher le tiers revendiquant de vendre pendant Ia procedure de revendication l'objet saisi ; toutefois, une teIle vente ne met pas obstacle a Ia realisation oe l'objet vendu, lorsque l'acheteur eonnaissait la saisie, si le tiers revendiquant a ornis de faire valoir ses droits dans le delai de l'art. 107 LP (consid. 2). Art. 106 et suiv. LP. 11 terzo, ehe ha assistito al pignoramento e vi ha dichiarato, ehe un oggetto pignorato spetta ad altra persona, non puo poi rivendiearlo in norne proprio allegando di essere caduto in errore su questo punto (cons. 1). Al terzo rivendieante non puö essere contestata Ia facolta di disporre (cedere, vendere) dell'oggetto rivendicato in pendenza della causa ammesso, sia passata in giudicat.o. ces art. 716; LEF art. 242 al. 2. Regol. sull'iunministrazione dei fallimenti Art. 46, 56, 58 al. 2 e 60 al. 3. Regolamento realizzazione forzata di fond i (RRF) art. 125 e 126 . . .:1 .• -- Laut Vertrag vom 2. Dezember 1926 machte die Basler Möbelfabrik dem Ad. Schneider Lieferungen für 8106 Fr. 75 Cts. unter Eigentumsvorbehalt, der am 2. August 1927 registriert wurde. Hieran bezahlte Schneider 2279 Fr. 15 Cts., und ferner akzeptierte er von der Basler Möbelfabrik auf ihn gezogene Wechsel im Betrage von 5704 Fr. 70 Cts., welche von der Schwei- zerischen Volksbank diskontiert wurden. In dem am 24. August 1927 über Schneider eröffneten Konkurs machte die Basler Möbelfabrik folgende Konkurseingabe : «Wir begleiten Ihnen anbei einen Buchauszug über unser Guthaben ...... im Betrage von 5959 Fr. 45 Cts. und wünschen, dass diese Forderung gemäss eingetra- genem Eigentumsrecht als privilegiert anerkannt wird. ») Anderseits meldete die Schweizerische Volksbank neben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