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221</w:t>
      </w:r>
    </w:p>
    <w:p>
      <w:r>
        <w:t>Bundesgericht (BGE), 1928-01-01, DE</w:t>
      </w:r>
    </w:p>
    <w:p>
      <w:r>
        <w:rPr>
          <w:b/>
        </w:rPr>
        <w:t xml:space="preserve">Quelle: </w:t>
      </w:r>
      <w:r>
        <w:t>https://mcp.opencaselaw.ch/entscheid/bge_54_III_221</w:t>
      </w:r>
    </w:p>
    <w:p>
      <w:r>
        <w:t>FR: ATF 54 III 221</w:t>
      </w:r>
    </w:p>
    <w:p>
      <w:r>
        <w:t>IT: DTF 54 III 221</w:t>
      </w:r>
    </w:p>
    <w:p>
      <w:pPr>
        <w:pStyle w:val="Heading2"/>
      </w:pPr>
      <w:r>
        <w:t>Volltext</w:t>
      </w:r>
    </w:p>
    <w:p>
      <w:r>
        <w:t>220 Schuldbetreibungs- und Konkursrecht (Zivilabteilungen). No 48. eingebracht zu haben und daher in diesem Betrage auf Geldersatz Anspruch machen zu können. Sodann setzt sich sowohl der erste als der dritte Klagantrag, durch welchen Zulassung der Beklagten mit 8012 Fr. 50 Cts. in der vierten und 22.012 Fr. 50 Cts. in der fünften Klasse verlangt wird. mit der Vorschrift des Art. 250 Abs. 2 und 3 SchKG in Widerspruch, wonach die gegen einen anderen Konkursgläubiger gerichtete Kollokationsklage nur die Bestreitung der Zulassung desselben oder des ih~ angewiesenen Ranges zum Gegenstand haben kann. mIt der Massgabe, dass« der Anteil des Beklagten an der Konkursmasse herabgesetzt wird»; alle diese An- träge zielen jedoch gerade auf eine Erhöhung des Anteiles der Beklagten an der Konkursmasse über die in der fünften Klasse zugelass~nen 25 Fr. hinaus ab. Die derart beantragte weitergehende Zulassung und neue Klassi- fikation der Frauengutsersatzforderung ist aber nichts anderes als die Folge der angestrebten Abweisung des Aussonderungsanspruches bezüglich der streitigen Aktien und wird ohne weiteres vorgenommen werden müssen. sofern deren Aussonderung nicht stattfinden kann. Demnach erkennt das 8undesgericht : Die Berufung wird begründet erklärt, das Urteil des Obergerichtes des Kantons Solothurn vom 23. Februar 1928 aufgehoben und die Klage angebrachtermassen abgewiesen. . Schuldbetreibungs- und Konkursrecht (Kreisschreiben). N° 49. 221 III. KREISSCHREIDEN DES GESAMTGERICHTES CmCULAIRES DU TRWUNAL FEDIillAL 49. Er+eeltreläeD. (C!rMire) :Ir .• .,. 10. Juli Ins. Öffentliche BekanntJnachungen durch das Handelsamtsblatt. Das Schweizerische Volkswirtschaftsdepartement macht uns darauf aufmerksam, dass eine Vergleichung der kantonalen Amtsblätter mit dem Handelsamtsblatt während zwei Wochen dargetan hat, dass eine ganze Anzahl von öffentlichen Bekanntmachungen verschie- dener Ämter aus mehreren Kantonen, welche Konkurse über im Handelsregister eingetragen gewesene Personen betreffen, nur im kantonalen Amtsblatt, nicht auch im Schweizerischen Handelsamtsblatt erfolgt sind. Dies veranlasst uns, Art. 35 SchKG in Erinnerung zu rufen, wonach die - und zwar alle - öffentlichen Bekannt- machungen. ausser durch das kantonale Amtsblatt, auch durch das Schweizerische Handelsamtsblatt zu erfolgen haben, wenn der Schuldner der Konkursbetreibung unterliegt (bzw. vor der Konkurseröffnung unterlag). Wir ersuchen Sie, die Ihnen unterstellen Konkursämter neuerdings auf die erwähnte Vorschrift aufmerksam zu machen und in der Ihnen gutscheinenden Weise zu kontrollieren, ob 'dieser Vorschrift auch nachgelebt werde. Publications dans la Feuille officielle suisse du commerce. Le departement federal de l' economie publique attire notre attention sur le fait qu'il resulte d'une comparaison entre les feuilles officielles cantonales et la Feuille otficielle suisse du commerce pendant deux semaines que toute une serie d'avis officieis de divers offices de plusieurs 222 Schuldbetreibungs- und Konkursrecht (Kreisschreiben). N° 49. cantons concernant des faHlites de personnes qui avaient ete inserites au registre du commeree, n'ont pas paru dans la Feuille o{ficielle suisse du commerce, mais unique- ment dans la Feuille officielle cantonale. Ceci nous engage a vous rappeIer l'article 35 LP aux, termes duquel toutes les publications officielles doivent ~tre inserees non seulement dans la Feuille officielle cantonale, mais en outre dans la Feuille o{ficielle suisse du commeree lorsque le debiteur est sujet a la poursuite par voie de faillite ou y etait sujet avant l'ouverture de la f:,lillite. Nous prions d'attirer derechef. I'attention des offices de votre canton sur la disposition legale precitee et de controler de la maniere qui vous paraitra opportune si cette disposition est observee. Pubblicazioni nel Foglio ufficiale svizzero di commercio. Secondo una comunieazione deI Dipartimento federale dell'economia pubblica, un confronto da esso praticato . durante due settimane tra i Fogli ufficiali cantonali ed il Foglio ufficiale svizzero di commercio avrebbe dimostrato, ehe, in numerosi casi, degli avvisi ufficiali degli uffici concernenti fallimenti di persone gia iscritte al registro di commercio, furono inseriti solo nei Fogli ufficiali cantonali e non anche nel Foglio ufficiale svizzero di commercio. Questo modo di procedere e eontrario all'art. 35 LEF; il quale dispone ehe, se il debitore e soggetto alla procedura di fallimento, 0 vi era soggetto prima della diehiarazione di fallimento, tutte le pubblicazioni debbono essere fatte tanto nel Foglio uffieiale cantonale ehe nel Foglio ufficiale sviz- zero di commercio. Vogliate rendere attenti i Vostri uffici di fallimenti al disposto precitato e controllarne l' osservanza nel modo phI opportuno. OFDAG Offset-, Formular- und Fotodruck AG 3000 Bem SchuldheLreibnngs- und Konkursrecht. Poursuite et faillite. I. ENTSCHEIDUNGEN DER SCHULD- BETREIBUNGS- UND KONKURSKAMMER ARRETS DE LA CHAMBRE DES POURSUITES ET DES FAILLITES 50. Entscheid vom la. Juli lSaS i. S. Buprecht. Der im Handelsregister eingetragene S c h u I d n e r kann gegen die P f ä n dun g für andere als die in Art. 43 SchKG aufgeführten Forderungen auch noch nach Ablauf von zehn Tagen B e s c h wer d e führen. Zu diesen Forderungen gehören jedoch die Pr ä- mienforderungen der Schweizerischen U n f a I I ver sie her u n g san s tal t in Luzern. Le dibiteur imcrit au registre du commerce est en droit de porter plainte, meme apres l'expiration du delai de 10 jours, contre toutes saisies autres que celles pratiquees en vertu de l'art. 43 LP. Les primes dues a la Caisse nationale suisse d' assurance en cas d'accidents, a Lucerne, constituent des prestations de droit public au sens de l'art. 43 LP. Il debitore iscritto al registro di commercio ha il diritto di aggra- varsi, anche dopo il termine di 10 giorni, contro ogni pigno- ramento che non sia avvenuto in virtu dell'art. 43 LEF. I premi dovuti alla Cassa nazionale di assicurazione per infor- tuni costituiscono delle prestazioni di diritto pubblico a mente den'art. 43 LEF. A. - Am 2. Mai führte der Rekurrent Beschwerde, weil die von der Schweizerischen U nfallversicherungs- anstalt in Luzern, Kreisagentur Luzern, gegen ihn ange- hobene Betreibung für Prämien aus obligatorischer AS 54 III - 1928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