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 145</w:t>
      </w:r>
    </w:p>
    <w:p>
      <w:r>
        <w:t>Bundesgericht (BGE), 1927-01-01, DE</w:t>
      </w:r>
    </w:p>
    <w:p>
      <w:r>
        <w:rPr>
          <w:b/>
        </w:rPr>
        <w:t xml:space="preserve">Quelle: </w:t>
      </w:r>
      <w:r>
        <w:t>https://mcp.opencaselaw.ch/entscheid/bge_53_I_145</w:t>
      </w:r>
    </w:p>
    <w:p>
      <w:r>
        <w:t>FR: ATF 53 I 145</w:t>
      </w:r>
    </w:p>
    <w:p>
      <w:r>
        <w:t>IT: DTF 53 I 145</w:t>
      </w:r>
    </w:p>
    <w:p>
      <w:pPr>
        <w:pStyle w:val="Heading2"/>
      </w:pPr>
      <w:r>
        <w:t>Volltext</w:t>
      </w:r>
    </w:p>
    <w:p>
      <w:r>
        <w:t>144 Staatsrecht. Fälligkeit der Steuer und stehen vollstreckbaren Gerichts- urteilen im Sinne von Art. 80 des Bundesgesetzes über Schuldbetreibung und Konkurs gleich. Für einen fälligen, r e c h t s k räf t i g gewordenen Steueranspruch kann die kantonale Kriegssteuerverwaltung ohne vorgängige Betreibung den Anschluss an eine von dritter Seite gegenüber dem Steuerpflichtigen ausgewirkte Pfändung erklären )). Vi.T edel' "vird also das Eintreten auf Beschwer- den gegen die erstinstanzliche Einschätzungsverfügung \Ton der vorhergehenden Bezahlung der Steuer abhängig gemacht, noch wird diese Verfügung ohne Rücksicht auf eine erhobene Beschwerde als vollstreckbar behandelt. Damit die Vollstreckbarkeit eintrete, muss vielmehr zum Ablauf des vom eidg. Finanzdepartements bestimm- ten Fälligkeitstermins für die einzelnen Steuerraten (Art. 111 Abs. 1 des Bundesbeschlusses) noch ein weiteres, nämlich die Rechtskraft der Einschätzung, d. h. der Umstand hinzutreten, dass gegen sie innert gesetzlicher Frist kein Rechtsmittel ergriffen worden oder das Rechtsmittelverfahren erschöpft ist. So wird der Bundes- beschluss denn auch nach der von der eidg. Steuer- verwaltung erstatteten Auskunft in der Praxis all- gemein gehandhabt. Die Auskunft fügt bei, dass ein Bedürfnis, die nicht rechtskräftige Einschätzungsverfü- gung mit Vollstreckbarkeit auszustatten, nach Auffassung der eidg. Steuerverwaltung nicht bestehe. « Die Möglich- keit der Berechnung eines· Verzugszinses im Falle der Zahlungssäumigkeit genügt als Schutz gegen Trölerei. Sollte sich zeigen, dass ein Zins von 5 % zu diesem Zwecke zu niedrig ist, so würden wir die Ansetzung eines höheren Zinsfusses vorschlagen». Es liegt hierin zugleich ein weiterer Beleg dafür, dass schwerwiegende praktische Uebelstände, welche veranlassen könnten, auf die Grund- sätze des Urteils 1. S. Helphand zurückzukommen, mit der fraglichen Beschränkung der Vollstreckbarkeit nicht verbunden sind. Eigentumsgarantie. N° 21. 145 Demnach erkennt das Bundesgericht : Der Rekurs wird gutgeheissen und der angefochtene Entscheid des Staatsrates des Kantons Wallis vom 5. August 1926 aufgehoben. VI. EIGENTUMSGARANTIE GARANTIE DE LA PROPRIETE 21. Arrit du 7 mai 1927 dan~ la cause Cl La. Perle du Lao », S. A. et Wilsdorf contre Geneve. Expropriation en faueur de la Societe des Nations. Pour fonder le droit d'expropriation, un interet public general suffit et des considerations d'esthetique peuvent aussi etre invo- quees (conservation d'un site repute). A. - Par 10i du 24 novembre 1926, le Grand Conseil du canton de Geneve a decn~te d'utilite publique l'alie- nation de la propriete « La Perle du Lac», parcelle 5375, feuilIe 5, du cadastre de la Commune du Petit Saconnex et, eventuellement, des droits immobiliers et mobiliers, reels et personneis qui grevent ladite pro- priete. La loi est precedee des considerants ci-apres : « Vu l'importance que revet pour le Canton de Geneve » le developpement des installations et bureaux de la » Societe des Nations, » Vu la necessite d'assurer a la Societe des Nations la » possession de terrains convenables a proximite de ceux » qu'elle possMe deja, l) Vu la demande formuMe par cette defIliere, » Vu la demande presentee par le Conseil federal, » Vu le rapport annexe, presente par le Conseil d'Etat, » Vu la loi generale sur les routes, la voirie, la construc- AS 53 I - 1927 10 146 Staatsrecht. » tion, les mines et I'expropriation du 15 juin 1895, » modifi arures principales de notre rade. Or il s'agissait d'un danger immediat puisque nous nous trouvions en presence de demandes d'autorisations de bätir dans une des proprietes principales, la propriete Bartholoni. Enfin, nous avons entrevu la possibilite de doter ainsi nos environs d'une promenade d'un seul tenant, s'etendant depuis le parc Mon Repos jusqu'ä. l'Ariana, promenade comme il n' en existe pas de plus beIles ä. ma connaissance, gräce au tres grand developpement des terrains le long du lac )). Bien que les motifs invoques en se plac;ant au point de vue cantonal soient essentiellement d' ordre estheti- que et visent la protection d'un site repute, ces conside- rations peuvent aussi entrer en ligne, d'apres la juris- prudence du Tribuna~ federal, pour la solution de la question de l'utilite publique (RO 24 I p. 299, 34 I p. 221). Le recourant objecte en vain que les parcelles dejä. acquises ont une surface suffisante pour la construction des bätiments prevus. Il ne s'agit pas simplement des bätiments avec leurs degagements et voies d'acces, mais encore de leurs situation et entourage et, du point &lt;;le vue genevois, de la conservation, dans la mesure du possible, d'un paysage qui constitue un ornement de la ville. Acette fin, la communaute dispose du droit d'expropriation tant qu'elle n'agit pas pour des motifs autres que celui de l'interet public '---- ce qui est hors de question en l'espece, contrairement au cas « Perrin- Charbonnier)), invoque par les recourants (RO 31 I p. 645), OU le Tribuual federal a declare incompatible avec la Constitution genevoise l'expropriation poursuivie dans un but purement pecuniaire. Le recours doit donc etre rejete sans qu'il y ait lieu d'ordonner un echange ulterieur d'ecritures ou un debat oral. Le Tribunal fideral prononce: Le recours est rejete. t. Staatsverträge. ND 22. VII. STAATSVERTRÄGE TRAITES INTERNATIONAUX 151 22. Urteil vom ll. Februa.r 1927 i. S. Ma.thieu Cavrois &amp;, fils gegen Bezirkagerichtspräsident BinwiJ. Gerichtsstandsvertrag mit Frankreich. Gerichtsstand des Betreibungsortes für die Rückfordernngsklage nach Art. 86 SchKG. Zulässigkeit des Arrestes für einen solchen An- spruch gegenüber einem in Frankreich wohn haften Fran- zosen auch vor Erhebnng der Klage. Formelle, betreibungs- rechtliche Voraussetzungen für die Annahme einer besonderen Rückforderung im Sinne der erwähnten Gesetzesbestimmnng im Gegensatz zu der gewöhnlichen Kondiktion einer bezahlten Nichtschuld. A. - Die Rekursbeklagte Weberei Bäretswil A.-G. ist durch rechtskräftiges Urteil des Handelsgerichts des Kantons Zürich vom 18. März 1926 verpflichtet worden, an die Rekurrentin Firma Mathieu Cavrois &amp; fils in Roubaix, Frankreich, gewisse Summen in französischen Franken mit Verzugszinsen von bestimmten Daten an und daneben zwei Beträge in Schweizerfranken zu be- zahlen. Mit Zahlungsbefehl vom 7. Juni 1926 hob die Rekurrentin für die Urteilsbeträge gegen die Rekurs- beklagte an deren Sitz Bäretswil, Gerichtsbezirk Hinwil, Betreibung an und setzte sie am 1. Juli 1926 durch Zu- stellung der Konkursandrohung fort. Gemäss Art. 67 Ziff. 3 SchKG wurden dabei die Forderungssummen, soweit es sich um franz. Franken handelte, in schweiz. Währung umgerechnet. Als Umrechnungskurs wurde derjenige des Tages der Anhebung der Betreibung - 16 Fr. 70 Cts. für 100 franz. Franken - zugrunde gelegt. Am 29 . .fuli 1926, nach gestelltem Konkursbegehren, wollte die Rekursbeklagte dem Zürcher Anwalte der Rekurrentinzwei Checks übergeben, den einen in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