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53 II 352</w:t>
      </w:r>
    </w:p>
    <w:p>
      <w:r>
        <w:t>Bundesgericht (BGE), 1927-03-09, FR</w:t>
      </w:r>
    </w:p>
    <w:p>
      <w:r>
        <w:rPr>
          <w:b/>
        </w:rPr>
        <w:t xml:space="preserve">Quelle: </w:t>
      </w:r>
      <w:r>
        <w:t>https://mcp.opencaselaw.ch/entscheid/bge_53_II_352</w:t>
      </w:r>
    </w:p>
    <w:p>
      <w:r>
        <w:t>FR: ATF 53 II 352</w:t>
      </w:r>
    </w:p>
    <w:p>
      <w:r>
        <w:t>IT: DTF 53 II 352</w:t>
      </w:r>
    </w:p>
    <w:p>
      <w:pPr>
        <w:pStyle w:val="Heading2"/>
      </w:pPr>
      <w:r>
        <w:t>Volltext</w:t>
      </w:r>
    </w:p>
    <w:p>
      <w:r>
        <w:t>352 Prozess recht. N° 60. doch muss jeder von ihnen im Wege einer gesonderten Klage vorgehen. Demnach erkennt das Bundesgericht: Auf die gemeinsame Klage wird, soweit die Kläger F. Orsinger-Wrehrle und A. Walter betreffend, nicht eingetreten. 60. Arret de 1a IIe Section civile du 16 septembre 1927 dans la cause 1esegretain contre Pa.nier. Art. 87 chiffre 1 OJF. Le recours de droit civil est exc1u dans les causes susceptibles d'un recours en reforme. Attendu qu'Alfred Panier a ouvert action a Jules Lesegretain en coneIuant a ce qu'il plaise au Tribunal cantonal neuchätelois prononcer que le contrat coneIu entre parties le 6 mars 1923 a ete et est resilie par le fait et la faute du defendeur, et condamner celui-d a payer au demandeur la somme de 14772 fr. a titre de dommages-interets, avec interet legal a 6 % des le 27 avril 1923 ; que le defendeur a coneIu a liberation des fins de la demande; que par jugement du 9 mars 1927, rendu en application du droit civil franc;ais, Ie Tribunal cantonal neuchätelois a deeIare la demande bien fonefee en principe et conoamne Lesegretain a payer au demandeur 24 121,50 fr. franc;ais, a titre de dommages-interets, avec interets a 5 % des le 27 avril 1923 ; que, par acte depose en temps utile, Jules Lesegretain a interjete un recours de droit dvil en demandant au Tribunal federal d'annuler le jugement attaque et de renvoyer la cause a l'instance cantonale pour statuer a nouveau; qu'invoquant l'art. 87 chiffre 1 OJF, le recourant fait grief a l'instance cantonale d'avoir applique le droit franc;ais a une cause qui relevait du droit suisse ; Prozessrecht. N° 61. 353 Considerant en droit: qu'aux termes de l'art. 87 OJF, seules les causes non suscepfibles d'un recours en rejorme peuvent faire l'objet d'un recours de droit civil ; qu'en l'espece l'on se trouve en presence d'un juge- ment au fond rendu par la derniere instance cantonale dans un proces civil dont la valeur litigieuse est supe- rieure a 4000 fr. (art. 58 et 59 OJF) ; qu'a l'avis du recourant, l'instance cantonale aurait viole la loi federale en appliquant les dispositions du droit franc;ais a une cause qui relevait d'apres lui du droit federal des obligations (art. 56 et 57 OJF) ; que, des lors, Lesegretain pouvait et devait interjeter un recours en reforme pour soumettre au Tribunal federal la question du droit applicable au contrat litigieux; qu'en consequence, son recours de droit dvil est irrecevable (cf. arrets non publies Hoirs Roulin contre Justice de paix de Mouret, du 27 juin 1912, et Meng contre Bundi, du 7 juillet 1927) ; le Tribunal jediral prononce: Il n'est pas entre en matiere sur le recours. 61. Auszug a.us dem Urteil der II. Zivilabteilung vom ~9. September 1927 i. S. Zürcher gegen Erben Heierle. 1 Hau p t u r t eil: Eine Prozessabweisung wegen un- genauer Parteibezeichnung ist kein Haupturteil. Dle Vor- schrift genauer Parteibezeichnung ist eine prozessrechtliche Vorschrift, also kantonalen Rechts. Art. 58 Abs. 1 und Art. 57 Abs. lOG. 2. Ein Anspruch gegen Erben ist nicht gegen die Erbschaft (Erbengemeinschaft) sondern gegen die einzelnen Erben persönlich (als Streitgenossen) zu richten. Art. 602 ZGB; Art. 49 SchKG ist eine Sondervorschrilt.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