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II 275</w:t>
      </w:r>
    </w:p>
    <w:p>
      <w:r>
        <w:t>Bundesgericht (BGE), 1927-06-22, IT</w:t>
      </w:r>
    </w:p>
    <w:p>
      <w:r>
        <w:rPr>
          <w:b/>
        </w:rPr>
        <w:t xml:space="preserve">Quelle: </w:t>
      </w:r>
      <w:r>
        <w:t>https://mcp.opencaselaw.ch/entscheid/bge_53_II_275</w:t>
      </w:r>
    </w:p>
    <w:p>
      <w:r>
        <w:t>FR: ATF 53 II 275</w:t>
      </w:r>
    </w:p>
    <w:p>
      <w:r>
        <w:t>IT: DTF 53 II 275</w:t>
      </w:r>
    </w:p>
    <w:p>
      <w:pPr>
        <w:pStyle w:val="Heading2"/>
      </w:pPr>
      <w:r>
        <w:t>Volltext</w:t>
      </w:r>
    </w:p>
    <w:p>
      <w:r>
        <w:t>274 Schuldbetreibungs- und Konkursrecht. C'est a tort en consequence que la recourante a invoque l'art. 12 de ses conditions generales pour se soustraire . a ses obligations contractuelles. VI. SCHULDBETREIBUNGS- U. KONKURSRECHT POURSUITE ET FAILLITE Vgl. IlI. Teil Nr. 21-23. - Voir lIIe partie n° 21 a 23. ••• OFDAG Offset-, Formular- und Fotodruck AG 3000 Bem 1. FAMILIENRECHT DROIT DE LA FAMILLE 46. Estratto da11a untenza 22 giugno 1927 deUa IIa Sezione civile neHa causa M. contro K. Attribuzione dell'infante con effetto di stato civile. Perche esisti promessa di matrimonio a sensi delI'art. 323 ces non e indispensabile che il padre convenuto abbia avuto realmente l'intenzione di sposare la ragazza: occorre sola- mente che dal suo contegno essa abbia potutor agionevol- mente e di buona fede dedurre ehe tale fosse la sua intenzione. Il 30 luglio 1924 l'attriee M. dava aHa luce un figlio spurio. Nella susseguente causa di paternita essa chiedeva ehe il bambinofosse attribuito al eonvenuto M. con effetti di stato civile e ehe questi fosse condannato a pagarle 2500 fehi. a titolo di riparazione morale (art. 318 CCS) e 780 fchi. per spese di puerperio ed acces- sori (art. 317 eif. 1-3 CCS), ed a corrispondere aifiglio uua pensione alimelltarc di 50 fehi. mensili pagabili anti ci patamcute. Il Tribunale di AppeBo deI Cantolle TicillO, con giu- di:lio deI 10 marzo 1927, statuiva : 1. La petizione di causa e accolta nel senso ehe il bambino Pio e dichiarato figlio naturale deI convenuto senz'effetto di stato civile. 2. Considerando in dirifto : 1. - Il eonvenuto essendosi adagiato aHa selltenza querelata, il punto cardinale dell'odierna discussione sta nel decidere se questa Corte debba, per intervenuta promessa di matrimollio, attribuirgli I'infaute con effetti di stato civile a seusi delI 'art. 323 CCS. AS 53 II - 19"27 20 276 Familienrecht. N° 46. 11 giudiee eantonale ha respinto questa domanda diehiarando ehe l'attriee non aveva raggiunto la prova . dell'assunto. Ma oltre ehe, su questo punto, il giudizio, motivato in modo affatto succinto, non diseute parti- eolarmente delle risultanze proeessuali e non indiea menomamente le ragioni per le quali una promessa di matrimonio non troverebbe appoggio ne nei doeumenti prodotti dall'attriee, ne neHe testimonianze, e evidente ehe il giudiee cantonale, eosi giudicando, e partito da un eoneetto erroneo della nozione giuridica della pro- messa di matrimonio a senso degli art. 323 e 318 CCS. TI giudiee rileva ehe i rapporti tra l'attrice ed il con- venuto erano tali da far rite ne re dai parenti delle parti e dalla voee pubbliea, ehe il matrimonio avrebbe unito le due persone. Se cosi e, e leeito ammettere ehe l'atteggiamento tenuto dal eonvenuto sin dall'inizio neUe sue relazioni eoll'attriee poteva infatti fornire anehe a quest' ultima (e non solo ai parenti delle parti ed aHa voce pubblica) motivo sufficiente perehe ragione- volmente e di buona fede potesse ritenere ehe il convenuto l'avrebbe sposata. E cio basta perehe secondo la giurisprudenza di questa Corte (sentenza G. e. B deI 30 settembre 1926, e sentenza 22 giugno 1927 nella eausa G. eS.), si verifiehino gH estremi della promessa di ma- trimonio di cui agli art. 323 e 318 CCS. 2. - A dimostrare quanto si e venuto sopra esponeIido, oecorre solo rilevare i fatti seguenti : Prima di possedere l'attrice (il periodo critico corre dalla fine di ottobre 1923 aHa fine di febbraio 1924), il convenuto ebbe con essa lunga dimestichezza. Giä. daU'origine delle loro relazioni la visitava in easa liberamente e la famiglia ed i eoin- quilini 10 eonsideravano eome fidanzato ufficiale. L'attrice essendosi assentata per parecchi mesi (dall'ottobre 0 novembre 1923 al principio di gennaio 1924), il con- venuto andava tutte le sere in casa di lei intrattenendosi eoi famigliarl e spedalmente colla madre stessa deU'at- triee, eontegno questo ehe tanto aHa ragazza ehe aHa Familienrecht. No 46. 2'1'1 sua f~glia doveva neeessariamente apparire eome quello dl un uomo di seri ed onesti intendimenti. Ma v'ha di piu. Nel novembre deI 1923 (eioe durante il periodo critieo) ileonvenuto fu presentato dall'attriee in un pubblico esercizio ad un eomune eonoseente come suo sposo: e dalla testimonianza, ehe questo fatto riferisce, non risulta, ehe il eonvenuto protestasse contre tale qualifieazione 0 desse eomecehesisia ad intendere di non aeeonsentirvi. Al padre, ehe era ostile aHa eontinua- zione delle relazioni, ritenendo ehe, per Ia diversitä. delle condizioni soeiali, un matrimonio non fosse co:r:- sigliabile, il figlio rispondeva pubblicamente: « Dopo tutto e~sa e una ragazza eome le altre, le voglio bene e sono 10 ehe devo stare con lei e mantenerla : 0 queHa o ~essun' altra. » E la stessa lette ra di rottura dell' 11 gen- nalO 1924, la quale invero eade nella fase finale deI periodo eritieo, ma ehe pero, ad ogni modo, costituisce mezzo di interpretazione anehe dell' atteggiamento tenuto ant~riormente dal eonvenuto, eontiene le frasi signifi- cahve seguenti: « Non sarebbe beUo, se si fossimo sposati e nel medesimo tempo dai nostri di easa odiati. » 3. Il Tribunale lederale ha pronunciato : TI ricorso degli attori e ammesso parzialmente nel senso ehe I 'infante e attribuito al eonvenuto eogli effetti di stato civile.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