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4 I 74</w:t>
      </w:r>
    </w:p>
    <w:p>
      <w:r>
        <w:t>Bundesgericht (BGE), 1878-01-01, DE</w:t>
      </w:r>
    </w:p>
    <w:p>
      <w:r>
        <w:rPr>
          <w:b/>
        </w:rPr>
        <w:t xml:space="preserve">Quelle: </w:t>
      </w:r>
      <w:r>
        <w:t>https://mcp.opencaselaw.ch/entscheid/bge_4_I_74</w:t>
      </w:r>
    </w:p>
    <w:p>
      <w:r>
        <w:t>FR: ATF 4 I 74</w:t>
      </w:r>
    </w:p>
    <w:p>
      <w:r>
        <w:t>IT: DTF 4 I 74</w:t>
      </w:r>
    </w:p>
    <w:p>
      <w:pPr>
        <w:pStyle w:val="Heading2"/>
      </w:pPr>
      <w:r>
        <w:t>Volltext</w:t>
      </w:r>
    </w:p>
    <w:p>
      <w:r>
        <w:t>19. Beschluß vom 11. Jänner 1878 in Sachen der Bank in Luzern. Mit Rekursschrift vom 12. Dezember 1877 beschwerte sich die Bank in Luzern über ein Urtheil des luzernischen Oberge¬ richtes vom 22. September 1877 unter der Behauptung, das¬ selbe verletze den §. 102 lemma 2 des eidg. Wechselkonkordates, welchem der Kanton Luzern beigetreten sei. Das Bundesgericht hat, in Erwägung: 1. Daß ein von den Bundesbehörden genehmigtes Wechsel¬ konkordat gar nicht besteht, vielmehr die Sache sich so verhält, daß mehrere Kantone gemeinschaftlich eine Wechselordnung ha¬ ben ausarbeiten lassen, welche dann von einigen derselben, je¬ doch nicht einmal unverändert, zum kantonalen Gesetz erhoben worden ist; ein Vertrag d. h. eine gegenseitige Verpflichtung der betreffenden Kantone zur Einführung jener Wechselordnung aber niemals eingegangen und daher auch nicht von den Bundesbe¬ hörden ratihabirt worden ist; 2. daß sonach dem Bundesgericht, da lediglich die Anwendung und Auslegung eines kantonalen Gesetzes in Frage steht, die Kompetenz zur Beurtheilung der vorliegenden Beschwerde man¬ gelt; beschlossen: Auf die Beschwerde wird wegen Inkompetenz nicht eingetreten.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