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76</w:t>
      </w:r>
    </w:p>
    <w:p>
      <w:r>
        <w:t>Bundesgericht (BGE), 1922-11-13, DE</w:t>
      </w:r>
    </w:p>
    <w:p>
      <w:r>
        <w:rPr>
          <w:b/>
        </w:rPr>
        <w:t xml:space="preserve">Quelle: </w:t>
      </w:r>
      <w:r>
        <w:t>https://mcp.opencaselaw.ch/entscheid/bge_49_III_76</w:t>
      </w:r>
    </w:p>
    <w:p>
      <w:r>
        <w:t>FR: ATF 49 III 76</w:t>
      </w:r>
    </w:p>
    <w:p>
      <w:r>
        <w:t>IT: DTF 49 III 76</w:t>
      </w:r>
    </w:p>
    <w:p>
      <w:pPr>
        <w:pStyle w:val="Heading2"/>
      </w:pPr>
      <w:r>
        <w:t>Volltext</w:t>
      </w:r>
    </w:p>
    <w:p>
      <w:r>
        <w:t>76 Schuldbetreibungs- und Konkursrecht. N0 15. mulee par la Masse Modina le 13 novembre 1922 apparatt eomme justifie et doit ~tre eonfirme. La Chambre des Poursuites et des Faillites prononce: Le recours est admis et, le prononee attaque etant annule, Ies decisions prises par l' Administration de la Masse en faillite Eiehenhaum. eommuniquees a la Masse en faillite Modina S. A. par lettre du 17 novembre 1922, sont maintenues. 15. - Extrait cle l'.A.rrit clu 3 mai 1923 dans la cause Dame Degen. Art. 56 LP: Notification pendant les ferles. - Conse- . quence. Le Tribunal federal a juge (v. l'ari'et du 11 novembre 1916, dans la eause Studer, RO 42 III p. 423 et sv.) que la notifieation d 'un eommandement de payer ou d'un autre aete de poursuite, effeetue par la poste un dimanehe on autre jour ferie, OU bien un jour ouvrable apres 7 heures du soir, eontrair~ment aux preseriptions de l'art. 56 eh. 1 et 2 LP. n'etait pas nulle ou annulable, mais qu' elle subsistait pour produire ses effets des le lendemain, e'est-a-dire eomme si elle avait eu lieu le lendemain. Pour des motifs identiques (absence d'interet le- gitime de debiteur a l' annulation, interet du creancier au maintien, eonsiderations d'ordre pratique),la eommu- nieation du proees-verbal de saisie par la poste n'est pas annulable a raison du seul fait qu' elle est intervenue durant les feries instituees par rart. 56 eh. 3 LP. L'in- observation de eette disposition a simplement pour eonsequence de reporter les effets de la eommunieation a l'expiration des ferles, eomme si la remise avait eu lieu le premier jour utile qui suit. Schuldbetreibungs- und Konkursrecht. N0 17. 71 16. AUJZaS aus aem Entscheid. vom 3. Mai 1923 i. S. Pauli. SchKG Art. 106 ff. ; VZG Art. 10 Abs. 2: Bei Pfändungen von nicht auf den Namen des Schuldners eingetragenen Grund- stücken hat das Betreibungsamt das Widerspruchsverfahren von Amt e s weg e n einzuleiten. Wirkung der Unterlassung. Da die gepfändeten Grundstücke auf den Namen des Drittansprechers im Grundbuch eingetragen sind, hätte das Betreibungsamt gemäss Art. 10 Abs. 2 der Verord- nung über die Zwangsverwertung von Grundstücken (VZG) sofort nach der Pfändung von Amtes wegen das Widerspruchsverfahren einleiten müssen, ohne dass erst eine Drittanspruchserklärung des Eigentümers notwendig gewesen wäre. Wenn es dieser Vorsehrift nieht nach- gekommen ist, so ist dadurch der Anspruch des ein- getragenen Eigentümers nicht verwirkt, selbst wenn dieser, wie die Rekurrentin behauptet, es in der Tat unterlassen haben sollte, seinen Drittanspruch innert zehn Tagen seit Kenntnisnahme der Pfandung geltend zu machen. 17. Entscheid von 4. Kai 1923 • i. S. xa.ntoDalbank von Basel und Schweiz. Bankverein. SchKG Art. 232 Ziff. 4; Art. 262 Abs. 2; KV Art. 85; GT Art. 53: Überprüfung einer von der Aufsichtsbehörde nach Art. 53 GT. zugesprochenen Pauschalgebühr durch das Bundesgericht; für Verrichtungen, für die der GT eine bestimmte Gebühr vorsieht, darf eine höhere Pau- schalgebühr nicht zugesprochen werden (Erw. 1). Für besondere Mühewalt bei Verwertung von Pfandgegen- ständen darf eine Pauschalgebühr nach Art. 53 GT zu- gesprochen werden. Keine Verletzung des in Art. 232 Ziff. 4 SchKG garantierten Vorzugsrechts der Pfandgläubiger; doch kann durch allzu hohe Entschädigung Art. 262 Abs. 2 SchKG verletzt werden (Erw .. 2). A. - Im Konkurs der Firma La Roche Sohn &amp; oe in Basel, dessen Aktiven im Wesentlichen aus 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