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184</w:t>
      </w:r>
    </w:p>
    <w:p>
      <w:r>
        <w:t>Bundesgericht (BGE), 1923-01-01, DE</w:t>
      </w:r>
    </w:p>
    <w:p>
      <w:r>
        <w:rPr>
          <w:b/>
        </w:rPr>
        <w:t xml:space="preserve">Quelle: </w:t>
      </w:r>
      <w:r>
        <w:t>https://mcp.opencaselaw.ch/entscheid/bge_49_III_184</w:t>
      </w:r>
    </w:p>
    <w:p>
      <w:r>
        <w:t>FR: ATF 49 III 184</w:t>
      </w:r>
    </w:p>
    <w:p>
      <w:r>
        <w:t>IT: DTF 49 III 184</w:t>
      </w:r>
    </w:p>
    <w:p>
      <w:pPr>
        <w:pStyle w:val="Heading2"/>
      </w:pPr>
      <w:r>
        <w:t>Volltext</w:t>
      </w:r>
    </w:p>
    <w:p>
      <w:r>
        <w:t>184 Schuldbetreibungs- und Konkursrecht. N° 47. 47. Auszug aus äem Entscheid vom al. Oktober 1913 i. S. Oeaten'eich. Grundpfandverwertungsbetreibung. Der Schuldner, der geltend machen will, er habe die in Betreibung gesetzte Grundpfand- forderungseit Anhebung der Betreibung an den Gläubiger direkt teilweise bezahlt, kann nicht deren Aufnahme in das Lastenverzeichnis bestreiten, sondern nur gemäss Art. 85 SchKG vorgehen. Entgegen der Ansicht der Vorinstanz ist es aber auch ausgeschlossen, dass dem Rekursgegner eine Frist zur Anhebung der Klage auf Abänderung des Lastenverzcich- nisses angesetzt werden könnte, "ie der Rekurrent nun mit seinem Eventualantrag ausdrucklich verlangt. Nachdem der Rekursgegner in der von ihm angehobenen Bet.reibung auf Grundpfandverwertung einen rechts- kräftigen Zahlungsbefehl für den ganzen Betrag seines Schuldbriefes erlangt hat, kann der Rekurrent die Autnahme dieses Betrages, bezw. des vom Rekursgegner noch aufrecht erhaltenen Betrages, in das Lastenverzeich- nis nicht bestreiten, noch auch etwa durch eigene Klage auf Anfechtung des Lastenverzeichnisses 'Vegweisung desselben verlangen. Vielmehr karin er bei der gegebenen Sachlage die Einrede der teilweisen Abzahlung der Be- treibungssumme in höherem als dem vom Reknrsgegner zugegebenen Umfang nur in dem durch Art. 85 SchKG vorgesehenen summarischen Verfahren der richterlichen Entscheidung unterbreiten, freilich nicht mit dem Antrag auf gänzliche Aufhebung der Betreibung, sondern nur auf Feststellung des teil weisen Erlösehens der in Betreibung gesetzten Forderung. Schuldbetreibungs- und Konkursrecht. N° 48. 185 48. Arrit du 10 novembre lSIS dans la cause Sollberger. Droit du representant des obligataires d'intenter des pour- suites au nom de la communaute lorsque celle-ci existe soit de plein droit en vertu de l'ordonance federale du:!O fevrier 1918, soit d'apr~s les clauses de l'acte de pr~t par obliga- tions. Suivant acte passe le 29 decembre 1913 devant le notaire Chatelan, a Lausanne, Charles Sollberger a eontracte un emprunt hypotMcaire de 43 930 fr. divise en 93 obligations au porteur. Le contrat stipule que les obligataires sont representes par O. Garnier, agent d'affaires a Lausanne, que (art. 8) : « Les c1auses et conditions du present acte sont obli- gatoires pour tous les porteurs d'obligations. « Les obligataires ne peuvent exercer individuelle- ment aucune action contre le debiteur, » et que (art. 9) (( en qualite de representant. des obli- gataires, Olivier Garnier a le pouvoir..... d'exercer toutes poursuites contre le debiteur». Suivant commandement de payer, poursui~e N° 2572, du 20 aout 1923, O. Garnier, representant les « porteurs d' obligations hypothecaires, selon designation de l' obli- gation re~ue Chatelan notaire a Lausanne le 29 decemb~ 1913, representes par le gerant de la grosse», a reqUls du debiteur paiement du capital de l'emprunt. Sollberger aporte plainte en soutenant que la pour- suite est irreguliere, parce que le commandement de payer n'indique pas le nom et l'adresse de chacun des creanciers, indication cependant indispensable aux ter- mes des art. 67 et 69 LP,la communaute des obligataires etant depourvue de personnalite juridique et ne pouvant done exercer une poursuite sous son propre nom. Confirmant la decision rendue par l'autorite inferieure de surveillance, l'autorite cantonale, a rejete la plainte le 9 octobre 1923.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