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48 III 248</w:t>
      </w:r>
    </w:p>
    <w:p>
      <w:r>
        <w:t>Bundesgericht (BGE), 1920-12-18, IT</w:t>
      </w:r>
    </w:p>
    <w:p>
      <w:r>
        <w:rPr>
          <w:b/>
        </w:rPr>
        <w:t xml:space="preserve">Quelle: </w:t>
      </w:r>
      <w:r>
        <w:t>https://mcp.opencaselaw.ch/entscheid/bge_48_III_248</w:t>
      </w:r>
    </w:p>
    <w:p>
      <w:r>
        <w:t>FR: ATF 48 III 248</w:t>
      </w:r>
    </w:p>
    <w:p>
      <w:r>
        <w:t>IT: DTF 48 III 248</w:t>
      </w:r>
    </w:p>
    <w:p>
      <w:pPr>
        <w:pStyle w:val="Heading2"/>
      </w:pPr>
      <w:r>
        <w:t>Volltext</w:t>
      </w:r>
    </w:p>
    <w:p>
      <w:r>
        <w:t>246 Sanierung von Hotelunternemnungen. N0 73. 73. SenteDZ&amp; a7 dicembre 19aa nella causa 13i&amp;nchi. Moratoria conseguita aHo sco.po ,deI c~mcord.ato ipotecario a sensi dell'ordinanza deI Consiglio federale 18 dicembre 1920. - La domanda di proroga della moratoria non soggiage aHa competenza della Camera Esecuzioni e Falimenti. deI Tribunale federale. Considerando : Che il gravame e diretto contro un decreto della Camera Esecuzioni e Fallimenti deI Tribunale di Appello dei Cantone Tici~o, col quale al petente e stata rifiutata una proroga della moratoria a scopo di concordato da lui conseguita il10 maggio u. s. : .. Che questa Corte nQn e competente per decidere dell'ammissibilita di una proroga della moratoria con- seguita allo scopo deI concordato ipotecario, avveg- nacche, in questa procedura speciale (ordinanza deI Consiglio federale 18 dicembre 1920), la cognizione deI Tribunale federale si limita al giudizio Bulle questioni tassativamente menzionate dagli art. 32, 38 e 43 del- I' ordinanza stessa ; La Camera Esecuzioni e Fallimenti pronuncia : Non si entra nel merito deI ricorso. I ••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