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201</w:t>
      </w:r>
    </w:p>
    <w:p>
      <w:r>
        <w:t>Bundesgericht (BGE), 1922-01-01, DE</w:t>
      </w:r>
    </w:p>
    <w:p>
      <w:r>
        <w:rPr>
          <w:b/>
        </w:rPr>
        <w:t xml:space="preserve">Quelle: </w:t>
      </w:r>
      <w:r>
        <w:t>https://mcp.opencaselaw.ch/entscheid/bge_48_III_201</w:t>
      </w:r>
    </w:p>
    <w:p>
      <w:r>
        <w:t>FR: ATF 48 III 201</w:t>
      </w:r>
    </w:p>
    <w:p>
      <w:r>
        <w:t>IT: DTF 48 III 201</w:t>
      </w:r>
    </w:p>
    <w:p>
      <w:pPr>
        <w:pStyle w:val="Heading2"/>
      </w:pPr>
      <w:r>
        <w:t>Volltext</w:t>
      </w:r>
    </w:p>
    <w:p>
      <w:r>
        <w:t>200 Schuldbetreibungs- und Konkursrecht. N° 57. stabili pignorati, anche quando taluni di essi potrebbero essere liberati senza che percio il pignoramento apparisse insufficiente. Per l'analogia sostanziale ehe esiste fra i due prov- vedimenti (pignoramento e sequestro), i principi sues- posti si applicano tanto nelI'un caso ehe nell'altro. A prescindere dalla circostanza, che il sequestro cade tosto che il debitore sia in grado di fomire garanzia equivalente al valore dei beni sequestrati (art. 277 LEF), il sequestro colpisce i beni deI debitore alla stessa guisa deI pignoramento ; li sottrae, cioe, alla libera disposizione deI debitore e cio in modo indivisibile e per Ia totalit:l dellepretese deI creditore istante (cfr. JAEGER, oss. 6 all' art. 271). Nulla deI' resto induce ad ammettere che il disposto dell'art. 97 cap. 2 non abbia solo in vista la situazione, quale essa era al momento dell'esecuzione dei sequestro, e possa essere invoeato anche in base a circostanze avvenute posteriormente, come una dimi- nuzione deI debito, uno sgravio dell'onere ipoteeario o un aumento deI valore dei beni sequestrati. Questa interpretazione deI disposto dell'art. 97 ehe, per ragioni intuitive e di pratiea utilita, si impone in tema di pigno- ramento, deve valere anehe in materia di sequestro. Potrebbesi ehiedere se il debitore puo invoeare rart. 97 al. 2 al momento in cui il s'equestro si muta in pignora- mento, per domandare che l'Ufficio 10 limiti ai beni necessari onde soddisfare il creditore pignorante. La risposta dovrebbe essere negativa poiche, se non e lecito far limitare il sequestro in base all 'art. 97 cap. 2, il debitore non puo opporsi a ehe il creditore pignori tutto quello che ha validamente potuto far sequestrare. Dei resto, nel caso in esame non trattasi della limi- tazione di un pignoramento consecutivo ad un sequestro, ma di una Iimitazione parziale deI sequestro stesso. La Camera Esecuzioni e Fallimenli pronuncia: Il ricorso e ammesso. .,,' Schuldbetre1bungs- und Konkursrecht. No 58. 201 58. AusZug aus dem Entscheid vom 11. Dezember 1922 ' i S. Levaillant. Art. 98 Abs. 3 SchKG. (in der Fassung der Verordnung vom 4. April 1921). - Glaubhaftmachung einer Gefährdung gepfändeter Sachen ist im wesentlichen Ermessens- und Beweisfrage. Die amtliche Verwahrung gepfändeter Gegenstände oder deren Übergabe an einen Dritten, ist, wie die Vorinstanz zutreffend ausführt, nach dem neuen Texte des Art. 98 Abs. 3 SchKG nur zulässig, wenn der Gläubi- ger glaubhaft macht, dass diese Massnahmen zu seiner Sicherung geboten seien. Ob diese Voraussetzung~n gegeben seien, ist im wesentlichen eine' Ermessens- und Beweisfrage, die der ausschliesslichen Kognition der kantonalen Aufsichtsbehörden überlassen bleiben muss. Nur insofern könnte das Bundesgericht einschreiten, als die ka,ntonalen Aufsichtsbehörden den rechtlichen Begriff des Glaubhaftmachens nicht richtig anwenden, was z. B. der Fall wäre, wenn sie an den' vom Gläubiger zu leistenden N achwei~ einer Gefährdung der Sachen zu strenge Anforderungen stellen sollten. Dies trifft aber im angefochtenen Entscheide nicht zu. 59. Entachtid vom U. Dezember 1922 i. S. Wilti. Art. 39 SchKG: Art der Betreibung. Eintrag im Handels- register ist vom Betreibungsamt und den Aufsichts- behörden nicht zu überprüfen. Dem Rekurrenten, der am 10.u.13.Juni 1922 von Amtes wegen ins Handelsregister von Bern eingetragen worden war, wurde am 7. November 1922 auf Grund eines gegen ihn am 26. Juni 1922 erlassenen Zahlungsbefehls vom 202 Schuldbetreibungs- und Konkursrecht. N° 59. Betreibungsamt Bern-Stadt die Konkursandrohung zu- gestellt. Er beschwerte sich hiergegen, indem er geltend machte, die Betreibung dürfe nicht auf dem Wege des Konkurses fortgesetzt werden, da er zu Unrecht ins Handelsregister eingetragen worden sei. Mit Entscheid vom 22. November 1922 hat die Aufsichtsbehörde in Betreibungs- und Konkutssachen für den· Kanton Bern die Beschwerde abgewiesen. Diesen Entscheid hat der Rekurrent an das Bundesgericht weitergezogen. Die Schuldbetreibungs- und Konkurskammer zieht in Erwägung: Da der Rekurrent zur Zeit der Einreichung des Fort- setzungsbegehrens im Handelsregister eingetragen war, muss, wie die Vorinstanz zutreffend ausführt, die gegen ihn angehobene Betreibung auf dem Wege des Konkurses fortgesetzt werden, gleichgültig, ob die Eintragung korrekt war und dem Willen des Eingetragenen entsprach oder nicht, was der Betreibungsbeamte und die Auf- sichtsbehörden nicht zu überprij.fen haben. Das ent- spricht dem unzweideutigen Wortlaut des Gesetzes und der konstanten Praxis des Bundesgerichts (Art. 39 SchKG; BGE 1903 I Nr. 105; Sep.-Ausg. 6 Nr. 56; BGE 1904 I Nr. 127 und 135 ; Sep.-Ausg. 7 Nr. 70 und 78). Demnach erkennt die Schuldbelr.- und Konkurskammer : Der Rekurs wird abgewiesen. Schuldbetreibungs- und Konkursrecht. N° 60. 203 60. Arrit d.u 14 d.ecembre 1922 dans la cause Bmch. Art. 1 0 7 al. 2 LP: L' action en revendication suspend de plein droit Ia poursuite ; mais Ie juge a Ia faculte d'or- donner d'office ou a Ia demande des interesses Ia conti- nnation de Ia poursuite. Art. 11 6 LP: Le tiers qui a perdu Ia faculte d' opposer son droit de propriete an creancier poursuivant dans Ia poursuite en cours conserve le droit de s'opposer a Ia vente de l'objet saisi Iorsque Ia poursuite est perimee. A. - Dans les poursuites N°s 15586, 15587 et 15588, et a la requisition des creanciers Daeppen, Martinoni et Dubois et Blatter, l' office des poursuites de Lausanne a saisi le 21 juillet 1920, au prejudice du debiteur Pelichet, un orchestrion electrique taxe 12000 fr. Emch a revendique la propriete de l' orchestrion saisi. Les creanciers poursuivants ayant conteste la revendi- cation, l'office a fixe a Emch un delai pour ouvrir action (art. 107 LP). Le 9 octobre 1920, soit en temps utile, Emch a intente action contre les creanciers en les citant en conciliation devant le Juge de paix du cercle de Vevey. Acte de non conciliation a He delivre a Emch le 20 octobre 1920, mais celui-ci ne deposa aucune demande en mains du Tribunal competent, dans le deIai de 60 jours prevu par le Code de procMure civile vaudois. En revanche, par exploit du 16 decembre 1920, Emch a cite derechef les creanciers devant le Juge de paix de Vevey pour instruction et jugement de la cause. L'instant exposait qu'au moment Oll il avait ouvert la premiere action (9 octobre 1920) il ignorait que le montant des creances objet des poursuites Hait inferieur a 200 fr. Les defendeurs ont excipe de 1a tardivete de l'action introduite le 16 decembre 1920, apres l'expiration du delai prevu a l' art. 107 LP. Le 21 janvier 1922, le Juge de paixa avise l'office qu'il suspend~it les poursuites en cours po ur autant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