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181</w:t>
      </w:r>
    </w:p>
    <w:p>
      <w:r>
        <w:t>Bundesgericht (BGE), 1922-01-01, IT</w:t>
      </w:r>
    </w:p>
    <w:p>
      <w:r>
        <w:rPr>
          <w:b/>
        </w:rPr>
        <w:t xml:space="preserve">Quelle: </w:t>
      </w:r>
      <w:r>
        <w:t>https://mcp.opencaselaw.ch/entscheid/bge_48_III_181</w:t>
      </w:r>
    </w:p>
    <w:p>
      <w:r>
        <w:t>FR: ATF 48 III 181</w:t>
      </w:r>
    </w:p>
    <w:p>
      <w:r>
        <w:t>IT: DTF 48 III 181</w:t>
      </w:r>
    </w:p>
    <w:p>
      <w:pPr>
        <w:pStyle w:val="Heading2"/>
      </w:pPr>
      <w:r>
        <w:t>Volltext</w:t>
      </w:r>
    </w:p>
    <w:p>
      <w:r>
        <w:t>180 Schuldb~trelbungs- und Konkursreeht. No 49. base della graduatoria primitiva Kraft-Schwarz, credi- tore ipoteeario di seeondo grado, avrebbe avuto diritto di pereepire tutto il saldo residuo deI rieavo degli stabili e mobili, dedottane la somma neeessaria al soddis- facimento della Banea della Svizzera Italiana, il ehe in eifre signifiea : n ricavo netto dello stabile di 675,957 fehi. 80 phi 90,635 fehi. 90 rieavo netto dei mobili = 766,593 fehi. 70 meno !'importo totale deI eredito ipotecario di 10 grade (653,060 fehi. 70) = saldo .in favore di Kraft, seeondo la eolloeazione primitiva, 113,533 fehi. Seeondo 10 stato di eollocazione rettifieato, a Kraft spetta a parziale eopertu.ra deI suo eredito ipoteeario di seeondo rango anzitutto il saldo deI ricavo dallo stabile, dedotte Ie somme neeessarie al soddisfaeimento della banca, eioe 675,957 fehi. 80 meno 653,060 fehi. 70 = 22,897 fehi. 10 e, in seeondo luogo, l'intero prodotto netto della realizzazione deI mobilio, eioe 90,635 fehi. 90. In tutto quindi 113,533 fehi. eome sopra. 11 vantaggio ehe deriva a Kraft dal fatto ehe in seguito aHa causa promossa da Beekert il mobilio fu svineolato dall'ipoteca di prime grado e, nei suoi eonfronti, nullo, poiche l'importo di cui esso si avvantaggia sui mobili, 10 perde, in propor- zione equivalente, sul prodotto -degli stabili. Da quanto preeede risulta ehe l'azione promossa da Beekert non avvantaggia ne la situazione della massa nel suo insieme, ne quella di un singol0 creditore. L'errore deI ricorrente si fu ehe promosse l' azione di contestazione deI pegno sul mobilio ritenendo il valore degli stabili inferiore al loro valore reale, eioe al prezzo ehe essi raggiunsero all'incanto, e credette ehe, per soddisfare interamente la creditrice di primo grade occorresse anche il rieavo dei mobili. Ma quest'errore di valutazione in cui verso il rieorrente e in forza deI quale esso non pub ritirare alcun vantaggio dalla causa promossa, nulla pub mutare aHa soluzione dell'attuale questione di diritto. La Camera Esecuzioni e Fallimenti pronuncia: Il ricorso e respinto. Scbuldbetreibungs- und Konkursreebt. N- 50. 181 50. ktrlit da l'arrit 4u 31 octobre 19aa dans la eause BroUlet. Compet~nce des autorites de surveillance pour examiner si la poursuite a ete requise par une personne quaIifiee a cet effet. La poursuite a ete introduite au nom de la {( Banque eommerciale fribourgeoise, Fribourg, en liquidation I), a la requisition de MM. Piller et Egger, agissant en leur qualite de liquidateurs nommes par l'assemblee des creaneiers du 15 mai 1922 et inserits au registre du eommeree. D'apres le recourant, le coneordat obtenu par la B. C. F. selon prononee d'homologation de la Cour d'appel fribourgeoise du 3 juillet 1922 aurait remis la liquidation aux mains de la Banque de rEtat, a laquelle seule il appartiendrait de proceder au reeouvrement de la ereanee, objet de la poursuite. Le reeourant en eonelut que la poursuite doit ~tre annulee eomme n'ayant pas ete valablement requise. L'instance cantonale estime atort que eette question ne releve pas des autorites de surveillanee. Sans doute. si le recourant soutenait que la B. C. F. n'est plus en droit de le poursuivre, par le motif qu'ayant fait un eoncordat par cession d'aetif, elle ne serait plus titulaire de la creanee en poursuite, il aurait mal proeede en por- tant plainte. Il n'aurait pu faire valoir ce moyen qu'en formant opposition au eommandement de payer. Mais ce n'est pas ce que le reeourant allegue. Il se considere eneore comme le debiteur de la B. C. F. Par eontre, il pretend que celle-cin'est plus representee, pour les besoins de sa liquidation, par MM. Piller et Egger, mais par l'etablissement designe dans le eoneordat, a savoir par la Banque de l'Etat. Par cette allegation il ne souleve pas un moyen d'opposition; il ne conteste pas le droit de la B. C. F., indiquee dans le eommandement de payer comme creancit~re, d'exercer des poursuites contre lui; il fait seulement valoir que la poursuite n' a pas He 182 Schuldbetreibungs- und Konkuruecht. No 51. requise par cette banque, c'est-a-dire par un represen- tant qualifie a cet effet. C~est la un moyen dont l'examen est de Ia competence des autorites de surveillance, aussi bien que le moyen consistant a dire que la pour- suite est requise au nom d'une person ne iuridique in- existante, ou par un incapable non autorise, ou par un mandataire sans pouvoirs (cf. JAEGER, arte 67 LP, note 5, specialement dans la Praxis 11). 51. Entacheid vom 4. November 1922 i. S. Eonkuraamt Ziirioh-Aliatadt. ScbKG Art. 19: Den Konkursämtem fehlt das Recbt znr Weiterziebung von Bescbwerdeentscbeiden, durcb welche ihnen Amtspflicbten auferlegt werden. Im Nacblassverfahren über M. Wirz-Wyss in Solo- thurn ersuchte das als Sachwalter bezeichnete Kon- kursamt Solothurn (bezw. der Konkursbeamte) das Konkursamt Zürich-Altstadt um Aufnahme des In- ventars über die der Lombardanstalt Alfred Simon daselbst verpfändeten Uhren und deren Schätzung, und führte, als dieses sich weigerte, Beschwerde bei der Aufsichtsbehörde. Die untere AufsichtsbehÖrde, das Bezirksgericht Zü- rich, hat das Konkursamt Zürich-Altstadt angewiesen, dem Gesuch des Konkursamtes Solothurn (bezw. des Konkursbeamten als Sachwalter) um Rechts- hülfe Folge zu geben. Den vom Konkursamt Zürich~ Altstadt gegen diesen Entscheid eingelegten Rekurs hat die obere Aufsichtsbehörde, das Obergericht des Kantons Zürich, am 26. Juni abgewiesen. Diesen am 11. Juli zugestellten Entscheid hat das Konkursamt Zürich-Altstadt am 19. Juli an· das Bundesgericht . weitergezogen. Schuldbetreibung&amp;- und Konkursrecbt. N° 51. Die Schuldbetreibungs- und Konkurskammer ziehl in Erwägung : 183 Gemäss ständiger Rechtsprechung (vgl. AS 4G' 111 S. 7 und dortige Zitate) sind die Konkursämter zur Weiterziehung von Beschwerdeentscheiden nur zur Wah- rung der Interessen einer Konkursmasse oder zwecks Verteidigung der eigenen materiellen Interessen des Konkursbeamten legitimiert. Im vorliegenden Falle begründet das rekurrierende Konkursamt seine Legiti- mation damit, der Konkursbeamte habe ein persön- liches Interesse daran, dass ihm nicht durch Übertragung von Funktionen an das Konkursamt, die diesem nicht von Gesetzes wegen zugedacht seien, ein Übermass von Arbeit und Verantwortlichkeit aufgebürdet werde. Allein die Beamten haben keinen persönlichen Anspruch darauf, dass der Pflichtenkreis des Amtes so oder anders umschrieben werde, sondern sie haben ihr Amt so auszu- üben, wie es ihnen von der vorg~setzten Behörde ;vor- geschrieben wird. Ebensowenig wie im staatsrechtlichen Rekursverfahren eine Behörde sichj über die Anordnun- gen der Oberbehörde wegen Verfassungsverletzung be- schweren kann (AS 6 233; .:16 S. 323; 22 S. 281 ; 33 I S. 317), kann ein Recht zur Beschwerde nach Art. 19 SchKG einem Konkursamt eingeräumt werden, wenn"'es sich um die Frage handelt, welche staatlichen Funktio~en es wahrzunehmen habe. Eine solche Weiterziehungs- möglichkeit verträgt sich nicht mit der hierarchischen Unterordnung der Konkursbeamten unter die ihnen vorgesetzte Aufsichtsbehörde.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