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47 II 490</w:t>
      </w:r>
    </w:p>
    <w:p>
      <w:r>
        <w:t>Bundesgericht (BGE), 1921-01-01, DE</w:t>
      </w:r>
    </w:p>
    <w:p>
      <w:r>
        <w:rPr>
          <w:b/>
        </w:rPr>
        <w:t xml:space="preserve">Quelle: </w:t>
      </w:r>
      <w:r>
        <w:t>https://mcp.opencaselaw.ch/entscheid/bge_47_II_490</w:t>
      </w:r>
    </w:p>
    <w:p>
      <w:r>
        <w:t>FR: ATF 47 II 490</w:t>
      </w:r>
    </w:p>
    <w:p>
      <w:r>
        <w:t>IT: DTF 47 II 490</w:t>
      </w:r>
    </w:p>
    <w:p>
      <w:pPr>
        <w:pStyle w:val="Heading2"/>
      </w:pPr>
      <w:r>
        <w:t>Volltext</w:t>
      </w:r>
    </w:p>
    <w:p>
      <w:r>
        <w:t>490 Erfindungspatt'lIle. Nt&gt; SO. VII. ERFINDUNGSPATENTI - webes von der Mitte aus und die damit übereinstim- mende gleichmässige Längsspanllung der Gewebebahn. also die gleichmässige Breitstreckung von der Mitte aus mit gleichmässiger Liingsstreckung. Die Lösung der Aufgabe findet er in der Konstmktion einer Vor- richtung mit wenigstens im mittleren Teil schräg zur Walzenachse und annähernd gleichmässig schräg zur Warenlaufrichtung gestellten, zwangsläufig angetrie- benen Streckrollen. Durch diese neue Anordnung (Schräg- steIlung) der Rollen soll ein neuer, nur mit dieser Kon- struktion erreichbarer technischer Effekt erzielt werden, der nach der Darstellung des Beklagten in der gleich- mässigen Funktion der Walze, d. h. im gleichmässigen Erbreitern des Gew~bes von der Mitte aus, liegt. Allein diese vom Beklagten in der abgeänderten Fassung seines Patentanspruches als charakteristisch hervorgehobenen Merkmale seiner Erfindung sind aus der Patentschrift nicht zu erkennen. Insbesondere fehlen darin, wie auch die Vorinstallz feststellt, alle Anhaltspunkte für die konstruktive Gestaltung des zwangsläufigen Antriebs von schräg zur Walzenachse und annähernd gleichmässig schräg zur Warenlaufrich- tung gestellten Rollen. Die Lösung der Aufgabe, die dem neuen Anspruch zu Grunde liegen soll, und der dadurch erreichte neue technische Nutzeffekt, werden in der Patentschrift in keiner \Veise berührt. Schon aus diesen formellen Gründen muss daher der neue Patentanspruch des Beklagten gemäss Art. 16 Ziff. 7 und 8 PG als nicht schutzfähig erklärt werden. Demnach erkennt das Bundesgericht : Die Berufung wird abgewiesen und das Urteil des Handelsgerichts des Kantons Zürich vom 28. Sep- tember 1920 bestätigt. Mllitärorganisation. N- 81. VIII. MILITÄRORGANISATION ORGANISATION MILITAIRE 497 81. Urteil der Staatsrechtliche AbteillUlS yom aa. "'prU 10a1 i. S. Hunzlker gegen Eidgenolsenschaft. Scbadenersatzklage gegen die Eidgenossenschaft wegen Tö- tung einer unbeteiligten Person durch einen Schuss der ,vom Bunde einem Kanton zur Verfügung gestellten Ord- nungstruppen bei einem Zusammenstosse dieser mit Strei- kenden. Die Haftung des Bundes lässt sich weder auf Regeln des eidgenössischen Zivilrechts noch des öffentlichen Rechts~ (Verantwortlichkeit des Staates für Vergehen und Ver- sehen seiner Organe, Garantie des Eigentums und der persönlichen Freiheit, Bestimmungen der MO und des Verwaltungsreglementes für die eidgenössische Armee oder einen ungeschriebenen Satz des öffentlichen Rechts) stützen. Ausschluss der Rechtswidrigkeit bei innert dem Rahmen von züf. 201 u. 202 des Dienstreglementes für die schweize- rischen Truppen in der Fassung des BRB vom 22. Februar 1918 sich bewegendem \Vaffengebrauche. Untersuchung des Vorliegens der hier aufgestellten Voraussetzungen. .1.. - Mit Klageschrift vom 22. Dezember 1919 bis 12., Januar 1920 hat Witwe Elisabeth Hunziker geb. Keller in Basel gegen die Eidgenossenschaft das Rechts- begehren gestellt, die Beklagte sei zu verurteilen, der Klägerin 8691 Fr. 20 Cts. als Schadenersatz und 3000 Fr. als Genugtuung, zusammen also 11,691 Fr. 20 Cts., eventuell einen durch richterliches Ermessen zu be- stimmenden Betrag zu bezahlen. Die Klage stützt sich in tatsächlicher Beziehung darauf, dass die 1898 geborene ledige Tochter der Klägerin, Rosa Hunziker, die mit der Klägerin in gemeinsamem Haushalt ge- lebt und sie unterstützt habe, am 1. August 1919, auf dem Heimwege nach der \Vohnung, an der Rebgasse in Basel durch zwei Schüsse getötet worden sei, die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