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485</w:t>
      </w:r>
    </w:p>
    <w:p>
      <w:r>
        <w:t>Bundesgericht (BGE), 1921-01-01, DE</w:t>
      </w:r>
    </w:p>
    <w:p>
      <w:r>
        <w:rPr>
          <w:b/>
        </w:rPr>
        <w:t xml:space="preserve">Quelle: </w:t>
      </w:r>
      <w:r>
        <w:t>https://mcp.opencaselaw.ch/entscheid/bge_47_II_485</w:t>
      </w:r>
    </w:p>
    <w:p>
      <w:r>
        <w:t>FR: ATF 47 II 485</w:t>
      </w:r>
    </w:p>
    <w:p>
      <w:r>
        <w:t>IT: DTF 47 II 485</w:t>
      </w:r>
    </w:p>
    <w:p>
      <w:pPr>
        <w:pStyle w:val="Heading2"/>
      </w:pPr>
      <w:r>
        <w:t>Volltext</w:t>
      </w:r>
    </w:p>
    <w:p>
      <w:r>
        <w:t>Versic:herungsvertrag. N° 78. « doveva eOlloseere il fatto taciuto I). Altrimenti nell'ipo- tesi dell'art. 6: ivi l'effetto di legge (inizio deI termine del reeesso) sorge per l'avveramento di una eondizione • meramente oggettiva, Ia eognizione della reticenza, e non dipende da quella se usando l'ordinaria diligenza l'assicuratore avrebbe dovuto conoscere prima iliatto oceultato. Trattandosi dell'esereizio di un diritto limi- tato da Ull termine, Ia cui inosservanza trae seen Ia per- dita deI diritto stesso (facoltä a reeedere), le regole eomu- nemente aeeettate in tema di ermeneutiea non eonsen- tono ehe sia aggravato aggiungendo alla legge. Il ehe c pure vietato dal riflesso phI generico ehe, anehe in altri rapporti giui'idici, ehi e al beneficio di una dichia- razione positiva della controparte, puö farIe fidanza senza ehe sia tenuto, anche in easo di dubbio 0 di 80S- petto, a procedere a delle indagini per controllarne l'esattezza (COS! ad es. in materia di compera-vendita a riguardo dei difetti espressamente esclusi dal vendi- tore, Art. 200 cap. 2° CO). Nel easo in esame e pacifico ehe Ia convenuta non ha avuto eonoseenza positiva della falsitä. di aleune dichia- razioni rilevanti se non col eertifieato deI Dott. O. deI 14 marzo 1919: il reeesso da essa dichiarato il 3 aprile seguente, eioe entro tre settimane, non era quindi tar- divo. La lettera anollima dell'll dicembre precedente non puö, a questo riguardo, entrare in linea di. cont~. A prescindere dalla circostanza ehe era anomma, 11 suo contenuto era troppo vago ed inconcludente per oostituire la conoseenza di una violazione da parte del- l'assicurato dell'art. 4. L'asserzione ehe l'assicurato aveva sempre avuto una salute preearia eoncerneva un apprez- zamento meramente soggettivo non llecessariamente antitetico delle diehiarazioni corrispondenti dell'assicu- rato (3 a e 3 b). Ne puö indurre a conclusione diver~a la cireostanza ehe, di fatto, la convenuta ha preso III qualehe eonsiderazione 10 seritto anonimo in p:rro1a ingiungendo a1 suo agente di procedere a delle lllda- Kranken- und Unfallversicherung. N° 79. gini sul suo conteuuto. A questo non era tenuta e se essa ha 'ecceduto nella diligenzn ehe le incombeva, ciö non puö tornarle di nocumento. Che le ricerche praticate dan'agente gli abbiallo procurato prima deI 14 marzo 1919 conoscenza positiva dei fatti sottotaciuti, non e diIllostrato. 11 Tribunale jederale pronuncia: L' appello e ammesso e vien quil1di riformata Ia que- relata sentel1za 4 luglio 1921 deI Tribunale di App nt~en, der nicht Angestellter oder ArbeIter des haft~fhchti~en Unternehmens ist. zustossen, können daher dIe gem~m­ rechtlichen Haftpflichtbestimmungen übe~haupt lllc~t angewendet werden (vgl. GIORGIO und. NABHOLZ. ~lC schweizerische obligatorische UnfallversIcherung, SeIte 379 ff.). . .. 2. - Die Klägerill tritt daher ohne ElIlschrankung bis auf die Höhe ihrer Leistungen in die Anspruchs- rechte der Hinterbliebenen des Verunglückten gegen- über dem Beklagten ein. Die Vorinstanz hat dabei in Uebereillstimmung mit der ständigen Rechtssprechung des Bundesgerichts (AS 33 11 15 ff.; 35 I! 17 If. und 40 11 60 ff.), auf die zurückzukommen keme Ver- anlassung gegeben ist, die grundsätzliche ~aftung de~ Beklagten mit zutreffender Begründung beJaht, wobeI sie für die Schadensberechnung und die Bemessung der Höhe der Haftung. die Möglichkeit, dass sich der Verunglückte verheiraten werde, sowie de~sen. k~n­ kurrierendes Mitverschulden genügend berucksIchtIgt hat sodass auch zur beantragten Herabsetzung des der Kligerin zugesprochenen Schadenersatzes kein Grund vorhanden ist. Demnach el'kerwt das Bundesgericlll : Die Berufung wird abgewiesen und das U rteH des Appellationsgerichtes des Kantons' Basel-Stadt vom 3. Juni 1921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