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21</w:t>
      </w:r>
    </w:p>
    <w:p>
      <w:r>
        <w:t>Bundesgericht (BGE), 1921-01-01, DE</w:t>
      </w:r>
    </w:p>
    <w:p>
      <w:r>
        <w:rPr>
          <w:b/>
        </w:rPr>
        <w:t xml:space="preserve">Quelle: </w:t>
      </w:r>
      <w:r>
        <w:t>https://mcp.opencaselaw.ch/entscheid/bge_47_III_21</w:t>
      </w:r>
    </w:p>
    <w:p>
      <w:r>
        <w:t>FR: ATF 47 III 21</w:t>
      </w:r>
    </w:p>
    <w:p>
      <w:r>
        <w:t>IT: DTF 47 III 21</w:t>
      </w:r>
    </w:p>
    <w:p>
      <w:pPr>
        <w:pStyle w:val="Heading2"/>
      </w:pPr>
      <w:r>
        <w:t>Volltext</w:t>
      </w:r>
    </w:p>
    <w:p>
      <w:r>
        <w:t>20 Entscheidungen der SchuldbetreIbungs- die Eintragung, sondern die Unterzeichnung des Ver- trages durch den Erwerber in Verbindung mit dessen Uebergabe an den Veräusserer dar. Dabei erscheint aller- dings zweifelhaft, ob dieser dingliche Verfügungsakt sofort 'oder aber erst im Zeitpunkt der Einreichung des Vertrages durch den Veräusserer an das Betrei- bungsamt perfekt werde (vgi. a. a. 0., wo die Frage offen gelassen wurde). Ist sie im ersteren Sinne zu lösen, so könnte der Eigentumsvorbehalt der Rekurreutin nicht unter Berufung auf Art. 298 Abs. 1 SchKG nichtig erklärt werden, da der Vertrag, der freilich die durch Art. 4 Ziff. 2 litt. a und Art. 7 litt. i verlangte Angabe der Verfallzeit der Forderung nicht enthält, von Wälti am 5. Januar, also vor der öffentlichen Bekanntmachung der Nachlasstundung unterzeichnet und der Rekurrentin eingesandt wurde und aus den Akten auch nicht ersicht- lich ist, dass dieser Mangel, soweit er von ihm behoben werden musste, erst nach der öffentlicheR Bekanntma- chung behoben worden wäre. Nun beschlägt aber jene Frage das materielle Recht, und die Betreibungsbehörden sind daher zu ihrer Entscheidung nicht befugt. Ander- seits steht es ihnen angesichts der Unsicherheit der materiellen Rechtslage auch nicht zu, die Eintragung zu verweigern, da dies notwendigerweise die Unwirk- samkeit des Eigentumsvorbehaltes nach sich ziehen und infolgedessen der Rekurrentin die Verfolgung ihres An- spruches von vorueherein verunmöglichen würde. Hiezu liegt übrigens keinerlei Veranlassung vor. Denn da dem Eigentumsvorbehaltsregister nicht positive Rechtskraft- wirkung innewohnt (vgl. BGE 38 I S.782 ff. Erw. 2, Sep.- Ausg. 15 S.410 ff. Erw.2), wird der Frage, ob der Eigen- tumsvorbehalt zu Recht bestehe oder nicht, durch dessen Eintragung in keiner Weise präjudiziert : - als- dann aber besteht kein zureichender Grund zur Vor- prüfung dieser Frage seitens der Betreibungsämter, ins- besondere auch nicht nach der Richtung, ob die Ein- -tragungsbewilligung von einem in der Verfügung über und Konkurskammer. N° 8. 21 sein Vermögen beschränkten Erwerber ausgegangen sei (vgl. auch Art. 6 Abs. 1 der Verordnung). Vielmehr haben sie jeder die formellen Erfordernisse erfüllenden Anmeldung Folge zu geben mit der Massgabe, dass es dem Erwerber selbst und jedem dritten Interessenten vorbehalten bleibt, im Prozesswege die Frage des Be- standes. oder Nichtbestandes des Eigentumsvorbehaltes der richterlichen Feststellung zu unterbreiten. Demnach erkennt die Schuldbetr.- und Konkurskammer : . Der Rekurs wird begründet erklärt und die Löschungs- verfügung des Betreibungsamtes Bern-Stadt vom 19. Ja- nuar aufgehoben. 8. Entscheid vom 17. Jürz 1921 i. S. Xonkursa.mt Laufen. Legitimation des Konkursamtes zur Be- schwerdeführung. - Wenn es nur im Rechts- hülfedienst handelt. A. - Im Auftrage des Konkursamtes Basel-Stadt brachte das Konkursamt Laufen am 12. Januar 1921 die Liegenschaft « Schloss Burg » zur Versteigerung und schlug sie auf tel e p h 0 n i s ehe s Angebot dem Rechtsanwalt Dr. Hartmann in Basel zu. Auf Beschwerde hin hob die Aufsichtsbehörde des Kantons Bern den Zuschlag als rechtswidrig auf. B. - Hiegegen richtet sich der vorliegende Rekurs, mit d~m das Konkursamt Laufen geltend macht, der Zuschlag sei zurecht erfolgt. Die Schuldbetr.- und Konkurskammer zieht in Erwägung: Nach konstanter Praxis (AS 27 I S. 234) ist der Kon- kursbeamte nur insofern legitimiert, gegen Weisungen und Verfügungen der Aufsichtsbehörden zu rekurrieren,</w:t>
      </w:r>
    </w:p>
    <w:p>
      <w:r>
        <w:t>22 Entscheidungen der Schuldbetreibungs- als es sich darum handelt, dass er als Vertreter der Glällt- bigergemeinschaft gegenüber solchen Weisungen llIld Verfügungen die Interessen der Gemeinschaft wahrnimmt. Diese Voraussetzungen treffen im vorliegenden Falle nicht zu. Das Konkursamt will lediglich feststellen lassen, dass es in seiner Eigenschaft als im Rechtshülfedienst beauftragtes Amt die Steigerung in korrekter Weise vorgenommen, und dass die Aufsichtsbehörde in seinem Verhalten zu Unrecht einen Verstoss gegen die beste- henden Vorschriften erblickt habe. In Fragen solcher Art ist der Konkursbeamte den Aufsichtsbehörden untergeordnet .und kann so wenig als der Betreibungs- beamte ihre Anordnungen weiterziehen. Demnach erkennt die Schuldbetr.- und Konkurskammer : Auf. den Rekurs wird nicht eingetreten. 9. Sentenza a1 aprile 19a1 nella causa Banca Popolare di Lugano contro tJ'fficio di Lugano. Eseeuzioue iu via di realizzazioue dei peguo immobiliare. _ Contestazione in fase di riparto deI credito pignoratizio per eui fu promossa l'eseeuzione. - Ove un diritto di pegno iscritto nell'elenco oneri uon sia stato impugnato, l'iseri- zione fara stato non solo per il grado deI eredito, ma anehe per il suo importo. L'ufficio e tenuto ad iscrivere neUa graduatoria-riparto i erediti garantiti da pegno eome essi risultano dall' eleneo oneri passato in forza, e eid non solo per i eapitali, ma anehe per gli aceessori. - Obbligo dell'ufficio di comunieare l'eleneo oneri anche ai ereditori pignoranti (art. 37,43, 81, 102 edel regolamento deI Tribunale federale 23 aprile 1920 suHa realizzazione forzata di fondi, 'RRF). A. - Nell'esecuzione in via di realizzazione deI pegno (ipoteca) N° 4089, promossa dalla Banca Popolare di Lugano 0 contro Domenico Tidoni in Agra, il credito della . creditrice veniva iscritto nell'elenco oneri, depostoil und Konkurskammer. N° 9. 23 ' , 18 novembre 1920, per la somma totale di 20329 fr. 80 c. compresi gli accessori al 30 giugno 1917 (17500 fr. pel capitale e 2829 fr. 80 c. per accessori). Fu 0 inoltre is- critto nell'elenco oneri che Ia Banca pretendeva gli inte- ressi e le commissioni banearie d'uso dal 30 giugno 1~17 in avantL Questa iscrizione non venne impugnata.' Gli stabili, che anteriormente e contemporanea,niente alla procedura seguita dalla Banca erano stati . pignorati a favore di diversi creditori chirografari, vennero 0 realiz- zati in base a domanda della Banca Popolare in data deI 20 giugno 1920. In seguito di ehe l'ufficio di Lugano notificava il 13 febbraio 1921 alla B:mca Popolare il deposita dello stato di riparto e le comunicava ehe il suo credito, compresi gli accessori successivi a quelli conteg- giati nell'elenco' oneri, ammontava a 25630 fr. posto in classe ipotecaria per l'importo di fr. 23398 55 (rettificato poscia in 23 793 fr. JO c.) e per Ja rimanenza in Va classe. B. - La Banea Popolare protestava eontro' questa comunicazione e, basandosi sull' art. 43 deI ,Regola- mento deI Tribunale federale 23 aprile 1920 0 sulla ' realiz~ zazione forzata di fondi (RRF), chiedeva all' Autorita captonale di Vigilanza ehe il suo credito dell'importo di 26690 fr. fosse per la sua totalita iseritto in sede i'potecaria. C. - Colla decisione di eui a ricorso il gravame venne respinto in base ai seguenti motivi : L'art. 43 al. 10 RRF non entra in 0 linea di conto perclie non e applieabile se non alle esecuzioni in via di pignoramento. None esatto il dire ehe l'eieneo oneri cresciuto iri giudieato faceia stato anche per oIe iserizioni nella graduatoria- riparto. L'eieneo oneri e il semplice eleneo delle noti- fiche dei ereditori, senza faeolta di ingerenza da parte dell'ufficio. L'eienco oneri non puo essere decisivo ne- anche per Ia considerazioneche nella proeedura di realiz- zazione deI pegno immobiliare esso non vien comunieato aicreditori pignoranti, di modo ehe i medesimi,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