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116</w:t>
      </w:r>
    </w:p>
    <w:p>
      <w:r>
        <w:t>Bundesgericht (BGE), 1921-01-01, DE</w:t>
      </w:r>
    </w:p>
    <w:p>
      <w:r>
        <w:rPr>
          <w:b/>
        </w:rPr>
        <w:t xml:space="preserve">Quelle: </w:t>
      </w:r>
      <w:r>
        <w:t>https://mcp.opencaselaw.ch/entscheid/bge_47_III_116</w:t>
      </w:r>
    </w:p>
    <w:p>
      <w:r>
        <w:t>FR: ATF 47 III 116</w:t>
      </w:r>
    </w:p>
    <w:p>
      <w:r>
        <w:t>IT: DTF 47 III 116</w:t>
      </w:r>
    </w:p>
    <w:p>
      <w:pPr>
        <w:pStyle w:val="Heading2"/>
      </w:pPr>
      <w:r>
        <w:t>Volltext</w:t>
      </w:r>
    </w:p>
    <w:p>
      <w:r>
        <w:t>116 Sanierung von Hotelunternehmungen. N0 35. 35. Auszug aus dem Besohluss vom aa. September 1Sa1 i. S. Bürer. Die Ausdehnung des Pfandnachlassverfahrens auf andere als zum Fortbetrieb des Hotelgewerbes notwendige oder mit solchen gemeinsam verpfändete Grundstücke durch die Nachlassbehörde ist für das Schätzungsverfahren nicht verbindlich. Gemäss Art. 19 HPfNV werden zur Durchführung des Pfandnachlassverfahrens Geldmittel der Eidgenos- senschaft in Anspruch genommen. Die Ausdehnung des Verfahrens .auf andere als Hotelgrundstücke würde daher eine bestimmungswidrige Verwendung von Bundes- mitteln nach sich ziehen. Demnach kann es den Nach- lassbehörden nicht zustehen, im Einverständnis mit den Beteiligten das Pfandnachlassverfahren auch mit Bezug auf andere als zum Fortbetrieb des Hotelgewerbes not- wendige oder mit solchen gemeinsam. verpfändete Grundstücke zu eröffnen, und wenn es dennoch ge- schieht, ist ihr Entscheid für das Schätzungsverfahren nicht massgebend. Vielmehr ist es Aufgabe des mit der Leitung des Schätzungsverfahrens betrauten Bundes- gerichtes, eine bestimmungswidrige Verwendung von Bundesmitteln dadurch zu verhindern, dass es das Schätzungsverfahren gegebenenfalls auf diejenigen Grundstücke einschränkt, für welche das Pfandnach- lassverfahren überhaupt zuiässig ist. Dies trifft bezüg- lich der Villa J ulia und des Wohnhauses mit Scheune nicht zu (vergI. Beschlüsse der Schuldbetreibungs- und Konkurskammer vom 24. Mai und 1. Juni), und sie können deshalb für das P fan d nachlassverfahren weiter nicht in Betracht fallen. Mit Recht hat daher die Schätzung~k(jrnmistion eine Schätzung derselben nicht vorgenommen. .. , OFDAG Offset-, Formular- und Fotodruck AG 3000 Bem A. Schuldhetreihungs- und KonkursrechL. Poursuite et faiIliLe. I. ENTSCHEIDUNGEN DER SCHULDBETREIBUNGS- UND KONKURSKAMMER ARRßTS DE LA CHAMBRE DES POURSUITES ET DES FAILLITES. 36. Arret du 30 juillet 1921 dans la cause Flotron et. oonsorts. Art. 19 LP. La dccision du commissaire au sursis refusant de laisser participer aux dEmbcrations un creancier qui n'a pas fait sa production en tcmps utile, n'est pas une mesurl' susceptible d'etre dCferee au Tribunal federaI. La soch~te anonyme « Fabrique d'Ebauches l" a Lauc)' (Geneve), ayant obtenu un sursis concordataire, nn delai a ete fixe aux creanciers, conformement a l'art. 300 LP, ppur indiquer leurs creances au commissaire. Un certain nombre de creanciers n'ont pas produitdans le delai fixe. Le 14 juin 1921.10rs de l'assemblee des creanciers, par l'or- gane de leur representant, Me Nahrath, ils ont neanmoins sollicite du commissaire l' autorisation de prendre part aux deliberations. Le commissaire ayant refuse de faire droit acette demande, Hs ont porte plainte a l' auto rite de surveillance en concluant a ce qu'il fftt enjoint an commissaire de tenir compte dans son rapport des voix qu'ils avaient donnees pour l'acceptation du concordat. Par decision du 9 juillet 1921, l'autorite de surveillance des offices de poursuite pour dettes et de faillite du can- ton de Geneve a rejete la plainte, estimant qu'en presence AS 47 III- 192'2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